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MAR — Ausnahme für Maßnahmen im Rahmen der Geldpolitik, der Staatsschuldenverwaltung und der Klimapolitik</w:t>
      </w:r>
    </w:p>
    <w:p>
      <w:r>
        <w:rPr>
          <w:color w:val="555555"/>
          <w:sz w:val="18"/>
        </w:rPr>
        <w:t xml:space="preserve">MAR</w:t>
      </w:r>
    </w:p>
    <w:p>
      <w:r>
        <w:rPr>
          <w:color w:val="555555"/>
          <w:sz w:val="18"/>
        </w:rPr>
        <w:t xml:space="preserve">Stand: 22.07.2026 (konsolidierte Textfassung, kein amtliches Inkrafttretensdatum)</w:t>
      </w:r>
    </w:p>
    <w:p>
      <w:r>
        <w:t xml:space="preserve">(1) Diese Verordnung gilt nicht für Geschäfte, Aufträge oder Handlungen, die aus geld- oder wechselkurspolitischen Gründen oder im Rahmen der Staatsschuldenverwaltung von</w:t>
      </w:r>
    </w:p>
    <w:p>
      <w:r>
        <w:t xml:space="preserve">a) einem Mitgliedstaat,</w:t>
      </w:r>
    </w:p>
    <w:p>
      <w:r>
        <w:t xml:space="preserve">b) den Mitgliedern des Europäischen Systems der Zentralbanken,</w:t>
      </w:r>
    </w:p>
    <w:p>
      <w:r>
        <w:t xml:space="preserve">c) einem Ministerium, einer anderen Einrichtung oder Zweckgesellschaft eines oder mehrerer Mitgliedstaaten oder einer in deren Auftrag handelnden Person sowie —</w:t>
      </w:r>
    </w:p>
    <w:p>
      <w:r>
        <w:t xml:space="preserve">d) im Fall eines Mitgliedstaats mit der Form eines Bundesstaats — von einem Mitglied des Bundes getätigt werden.</w:t>
      </w:r>
    </w:p>
    <w:p>
      <w:r>
        <w:t xml:space="preserve">(2) Diese Verordnung gilt nicht für Geschäfte, Aufträge oder Handlungen, die getätigt werden</w:t>
      </w:r>
    </w:p>
    <w:p>
      <w:r>
        <w:t xml:space="preserve">a) von der Union,</w:t>
      </w:r>
    </w:p>
    <w:p>
      <w:r>
        <w:t xml:space="preserve">b) einer Zweckgesellschaft eines oder mehrerer Mitgliedstaaten,</w:t>
      </w:r>
    </w:p>
    <w:p>
      <w:r>
        <w:t xml:space="preserve">c) der Europäischen Investitionsbank,</w:t>
      </w:r>
    </w:p>
    <w:p>
      <w:r>
        <w:t xml:space="preserve">d) der Europäischen Finanzstabilisierungsfazilität,</w:t>
      </w:r>
    </w:p>
    <w:p>
      <w:r>
        <w:t xml:space="preserve">e) dem Europäischen Stabilitätsmechanismus,</w:t>
      </w:r>
    </w:p>
    <w:p>
      <w:r>
        <w:t xml:space="preserve">f) einem internationalen Finanzinstitut, das zwei oder mehrere Mitgliedstaaten zu dem Zweck errichtet haben, Mittel zu mobilisieren und diejenigen seiner Mitglieder, die von schwerwiegenden Finanzierungsproblemen betroffen oder bedroht sind, finanziell zu unterstützen.</w:t>
      </w:r>
    </w:p>
    <w:p>
      <w:r>
        <w:t xml:space="preserve">(3)</w:t>
      </w:r>
    </w:p>
    <w:p>
      <w:r>
        <w:t xml:space="preserve">(4)</w:t>
      </w:r>
    </w:p>
    <w:p>
      <w:r>
        <w:t xml:space="preserve">(5) Dazu erstellt die Kommission bis zum 3. Januar 2016 einen Bericht, in dem beurteilt wird, wie öffentliche Einrichtungen, die für die Staatsschuldenverwaltung zuständig oder daran beteiligt sind, und die Zentralbanken von Drittstaaten international behandelt werden, und legt ihn dem Europäischen Parlament und dem Rat vor. Der Bericht enthält eine vergleichende Untersuchung der Behandlung dieser Stellen und Zentralbanken im Rechtsrahmen von Drittstaaten sowie die Risikomanagementstandards, die für die von diesen Stellen und den Zentralbanken in diesen Rechtsordnungen getätigten Geschäfte gelten. Wenn das Fazit dieses Berichts — vor allem angesichts der vergleichenden Untersuchung — lautet, dass es erforderlich ist, die Zentralbanken dieser Drittstaaten im Hinblick auf ihre währungspolitischen Verpflichtungen von den in dieser Verordnung festgelegten Verpflichtungen und Verboten auszunehmen, weitet die Kommission die Ausnahme nach Absatz 1 auch auf die Zentralbanken dieser Drittstaaten aus.</w:t>
      </w:r>
    </w:p>
    <w:p>
      <w:r>
        <w:t xml:space="preserve">(6)</w:t>
      </w:r>
    </w:p>
    <w:p>
      <w:r>
        <w:t xml:space="preserve">(7)</w:t>
      </w:r>
    </w:p>
    <w:p>
      <w:r>
        <w:rPr>
          <w:color w:val="555555"/>
          <w:sz w:val="17"/>
        </w:rPr>
        <w:t xml:space="preserve">Zitiervorschlag: Art 6 MAR</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