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MAR — Ausnahmen für Rückkaufprogramme und Stabilisierungsmaßnahmen</w:t>
      </w:r>
    </w:p>
    <w:p>
      <w:r>
        <w:rPr>
          <w:color w:val="555555"/>
          <w:sz w:val="18"/>
        </w:rPr>
        <w:t xml:space="preserve">MAR</w:t>
      </w:r>
    </w:p>
    <w:p>
      <w:r>
        <w:rPr>
          <w:color w:val="555555"/>
          <w:sz w:val="18"/>
        </w:rPr>
        <w:t xml:space="preserve">Stand: 22.07.2026 (konsolidierte Textfassung, kein amtliches Inkrafttretensdatum)</w:t>
      </w:r>
    </w:p>
    <w:p>
      <w:r>
        <w:t xml:space="preserve">(1) Die in den Artikeln 14 und 15 dieser Verordnung festgeschriebenen Verbote gelten nicht für den Handel mit eigenen Aktien im Rahmen von Rückkaufprogrammen, wenn</w:t>
      </w:r>
    </w:p>
    <w:p>
      <w:r>
        <w:t xml:space="preserve">a) die Einzelheiten des Programms vor dem Beginn des Handels vollständig offengelegt werden,</w:t>
      </w:r>
    </w:p>
    <w:p>
      <w:r>
        <w:t xml:space="preserve">b) Abschlüsse der zuständigen Behörde des Handelsplatzes gemäß Absatz 3 als Teil des Rückkaufprogramms gemeldet und anschließend öffentlich in aggregierter Form bekannt gegeben werden,</w:t>
      </w:r>
    </w:p>
    <w:p>
      <w:r>
        <w:t xml:space="preserve">c) in Bezug auf Kurs und Volumen angemessene Grenzen eingehalten werden und</w:t>
      </w:r>
    </w:p>
    <w:p>
      <w:r>
        <w:t xml:space="preserve">d) er im Einklang mit den in Absatz 2 genannten Zielen und den in dem vorliegenden Artikel festgelegten Bedingungen und den in Absatz 6 genannten technischen Regulierungsstandards durchgeführt wird.</w:t>
      </w:r>
    </w:p>
    <w:p>
      <w:r>
        <w:t xml:space="preserve">(2) Um in den Genuss der in Absatz 1 vorgesehenen Ausnahme zu gelangen, muss ein Rückkaufprogramm als seinen einzigen Zweck haben:</w:t>
      </w:r>
    </w:p>
    <w:p>
      <w:r>
        <w:t xml:space="preserve">a) das Kapital eines Emittenten zu reduzieren,</w:t>
      </w:r>
    </w:p>
    <w:p>
      <w:r>
        <w:t xml:space="preserve">b) die aus einem Schuldtitel entstehenden Verpflichtungen zu erfüllen, die in Beteiligungskapital umgewandelt werden können, oder</w:t>
      </w:r>
    </w:p>
    <w:p>
      <w:r>
        <w:t xml:space="preserve">c) die aus einem Belegschaftsaktienprogramm oder anderen Formen der Zuteilung von Aktien an Mitarbeiter oder Angehörige der Verwaltungs-, Leitungs- oder Aufsichtsorgane des Emittenten oder einem verbundenen Unternehmen entstehenden Verpflichtungen zu erfüllen.</w:t>
      </w:r>
    </w:p>
    <w:p>
      <w:r>
        <w:t xml:space="preserve">(3) Um in den Genuss der in Absatz 1 vorgesehenen Ausnahme zu gelangen, muss der Emittent jedes mit Rückkaufprogrammen zusammenhängende Geschäft der zuständigen Behörde des unter Liquiditätsaspekten relevantesten Marktes nach Artikel 26 Absatz 1 der Verordnung (EU) Nr. 600/2014 melden. Die empfangende zuständige Behörde leitet die Informationen auf Ersuchen an die zuständigen Behörden des Handelsplatzes weiter, an dem die Aktien zum Handel zugelassen wurden und gehandelt werden.</w:t>
      </w:r>
    </w:p>
    <w:p>
      <w:r>
        <w:t xml:space="preserve">(4) Die in den Artikeln 14 und 15 dieser Verordnung festgeschriebenen Verbote gelten nicht für den Handel mit Wertpapieren oder verbundenen Instrumenten zur Stabilisierung des Kurses von Wertpapieren, wenn</w:t>
      </w:r>
    </w:p>
    <w:p>
      <w:r>
        <w:t xml:space="preserve">a) die Dauer der Stabilisierungsmaßnahme begrenzt ist,</w:t>
      </w:r>
    </w:p>
    <w:p>
      <w:r>
        <w:t xml:space="preserve">b) relevante Informationen zur Stabilisierung offengelegt und der zuständigen Behörde des Handelsplatzes gemäß Absatz 5 gemeldet werden,</w:t>
      </w:r>
    </w:p>
    <w:p>
      <w:r>
        <w:t xml:space="preserve">c) in Bezug auf den Kurs angemessene Grenzen eingehalten werden und</w:t>
      </w:r>
    </w:p>
    <w:p>
      <w:r>
        <w:t xml:space="preserve">d) ein solcher Handel den Bedingungen für die Stabilisierung gemäß den technischen Regulierungsstandards gemäß Absatz 6 entspricht.</w:t>
      </w:r>
    </w:p>
    <w:p>
      <w:r>
        <w:t xml:space="preserve">(5) Unbeschadet des Artikels 23 Absatz 1 teilen Emittenten, Bieter oder Unternehmen, die die Stabilisierungsmaßnahme durchführen, unabhängig davon, ob sie im Namen Ersterer handeln oder nicht, der zuständigen Behörde des Handelsplatzes spätestens am Ende des siebten Handelstags nach dem Tag der Ausführung dieser Maßnahmen die Einzelheiten sämtlicher Stabilisierungsmaßnahmen mit.</w:t>
      </w:r>
    </w:p>
    <w:p>
      <w:r>
        <w:t xml:space="preserve">(6) Zur durchgängigen Harmonisierung dieses Artikels arbeitet die ESMA Entwürfe technischer Regulierungsstandards aus, in denen die bei den Rückkaufprogrammen und Stabilisierungsmaßnahmen nach Absatz 1 und 4 einzuhaltenden Bedingungen präzisiert werden, darunter Handelsbedingungen, Beschränkungen der Dauer und des Volumens, Bekanntgabe- und Meldepflichten sowie Kursbedingungen.</w:t>
      </w:r>
    </w:p>
    <w:p>
      <w:r>
        <w:t xml:space="preserve">Die ESMA legt der Kommission diese Entwürfe technischer Regulierungsstandards bis zum 3. Juli 2015 vor.</w:t>
      </w:r>
    </w:p>
    <w:p>
      <w:r>
        <w:t xml:space="preserve">Der Kommission wird die Befugnis übertragen, die in Unterabsatz 1 genannten technischen Regulierungsstandards nach Artikel 10 bis 14 der Verordnung (EU) Nr. 1095/2010 zu erlassen.</w:t>
      </w:r>
    </w:p>
    <w:p>
      <w:r>
        <w:rPr>
          <w:color w:val="555555"/>
          <w:sz w:val="17"/>
        </w:rPr>
        <w:t xml:space="preserve">Zitiervorschlag: Art 5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