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MAR — Meldungen und Liste der Finanzinstrumente</w:t>
      </w:r>
    </w:p>
    <w:p>
      <w:r>
        <w:rPr>
          <w:color w:val="555555"/>
          <w:sz w:val="18"/>
        </w:rPr>
        <w:t xml:space="preserve">MAR</w:t>
      </w:r>
    </w:p>
    <w:p>
      <w:r>
        <w:rPr>
          <w:color w:val="555555"/>
          <w:sz w:val="18"/>
        </w:rPr>
        <w:t xml:space="preserve">Stand: 22.07.2026 (konsolidierte Textfassung, kein amtliches Inkrafttretensdatum)</w:t>
      </w:r>
    </w:p>
    <w:p>
      <w:r>
        <w:t xml:space="preserve">(1) Sie informieren auch die zuständige Behörde des Handelsplatzes, wenn ein Finanzinstrument nicht mehr gehandelt wird oder seine Zulassung zum Handel erlischt, außer wenn das Datum, von dem an das betreffende Finanzinstrument nicht mehr gehandelt wird oder mit dem seine Zulassung zum Handel erlischt, bekannt ist und in der Meldung gemäß Unterabsatz 1 genannt wurde. Die in diesem Absatz genannten Meldungen enthalten gegebenenfalls die Bezeichnungen und Kennung der betreffenden Finanzinstrumente sowie Datum und Uhrzeit des Antrags auf Zulassung zum Handel, Datum und Uhrzeit der Zulassung zum Handel sowie Datum und Uhrzeit des ersten Handelsabschlusses. Die Marktbetreiber und die Wertpapierfirmen übermitteln der zuständigen Behörde des Handelsplatzes außerdem die in Unterabsatz 3 festgelegten Informationen zu den Finanzinstrumenten, für die ein Antrag auf Zulassung zum Handel auf ihrem Handelsplatz gestellt wurde bzw. die vor dem 2. Juli 2014 auf ihrem Handelsplatz zum Handel zugelassen waren und die an diesem Tag immer noch zum Handel zugelassen waren oder gehandelt haben.</w:t>
      </w:r>
    </w:p>
    <w:p>
      <w:r>
        <w:t xml:space="preserve">(2)</w:t>
      </w:r>
    </w:p>
    <w:p>
      <w:r>
        <w:t xml:space="preserve">(3) Die Liste enthält folgende Informationen:</w:t>
      </w:r>
    </w:p>
    <w:p>
      <w:r>
        <w:t xml:space="preserve">a) die Bezeichnungen und Kennung der Finanzinstrumente, für die die Zulassung zum Handel auf geregelten Märkten, multilateralen und organisierten Handelssystemen beantragt wurde, die dort zum Handel zugelassen wurden oder dort erstmalig gehandelt wurden;</w:t>
      </w:r>
    </w:p>
    <w:p>
      <w:r>
        <w:t xml:space="preserve">b) Datum und Uhrzeit der Beantragung der Zulassung zum Handel, der Erteilung der Zulassung oder des erstmaligen Handels;</w:t>
      </w:r>
    </w:p>
    <w:p>
      <w:r>
        <w:t xml:space="preserve">c) ausführliche Informationen zu den Handelsplätzen, auf denen die Zulassung zum Handel für die Finanzinstrumente beantragt wurde, auf denen sie zum Handel zugelassen wurden oder auf denen sie erstmalig gehandelt wurden, und</w:t>
      </w:r>
    </w:p>
    <w:p>
      <w:r>
        <w:t xml:space="preserve">d) Datum und Uhrzeit, zu dem/der der Handel mit dem Finanzinstrument eingestellt wird bzw. zu dem/der seine Zulassung zum Handel erlischt.</w:t>
      </w:r>
    </w:p>
    <w:p>
      <w:r>
        <w:t xml:space="preserve">(4) Zur Sicherstellung der durchgehenden Harmonisierung dieses Artikels arbeitet die ESMA Entwürfe technischer Regulierungsstandards aus, um Folgendes festzulegen:</w:t>
      </w:r>
    </w:p>
    <w:p>
      <w:r>
        <w:t xml:space="preserve">a) den Inhalt der Meldungen gemäß Absatz 1 und</w:t>
      </w:r>
    </w:p>
    <w:p>
      <w:r>
        <w:t xml:space="preserve">b) die Art und Weise und die Bedingungen der Zusammenstellung, Veröffentlichung und Pflege der in Absatz 3 genannten Liste. Die ESMA übermittelt der Kommission diese Entwürfe technischer Regulierungsstandards bis zum 3. Juli 2015. Der Kommission wird die Befugnis übertragen, die in Unterabsatz 1 dieses Absatzes genannten technischen Regulierungsstandards nach Artikel 10 bis 14 der Verordnung (EU) Nr. 1095/2010 des Europäischen Parlaments und des Rates ( 6 ) zu erlassen.</w:t>
      </w:r>
    </w:p>
    <w:p>
      <w:r>
        <w:t xml:space="preserve">(5) Die ESMA übermittelt der Kommission diese Entwürfe technischer Regulierungsstandards bis zum 3. Juli 2015. Der Kommission wird die Befugnis übertragen, die in Unterabsatz 1 genannten technischen Durchführungsstandards nach Artikel 15 der Verordnung (EU) Nr. 1095/2010 zu erlassen.</w:t>
      </w:r>
    </w:p>
    <w:p>
      <w:r>
        <w:rPr>
          <w:color w:val="555555"/>
          <w:sz w:val="17"/>
        </w:rPr>
        <w:t xml:space="preserve">Zitiervorschlag: Art 4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