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MAR — Ausschussverfahren</w:t>
      </w:r>
    </w:p>
    <w:p>
      <w:r>
        <w:rPr>
          <w:color w:val="555555"/>
          <w:sz w:val="18"/>
        </w:rPr>
        <w:t xml:space="preserve">MAR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wird von dem gemäß dem Beschluss 2001/528/EG der Kommission ( 19 ) eingesetzten Europäischen Wertpapierausschuss unterstützt. Dieser Ausschuss ist ein Ausschuss im Sinne der Verordnung (EU) Nr. 182/2011.</w:t>
      </w:r>
    </w:p>
    <w:p>
      <w:r>
        <w:t xml:space="preserve">(2) Wird auf diesen Absatz Bezug genommen, so gilt Artikel 5 der Verordnung (EU) Nr. 182/2011.</w:t>
      </w:r>
    </w:p>
    <w:p>
      <w:r>
        <w:rPr>
          <w:color w:val="555555"/>
          <w:sz w:val="17"/>
        </w:rPr>
        <w:t xml:space="preserve">Zitiervorschlag: Art 36 MAR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https://recht.nulegal.eu/gesetze/MAR/36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