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MAR — Veröffentlichung von Entscheidungen</w:t>
      </w:r>
    </w:p>
    <w:p>
      <w:r>
        <w:rPr>
          <w:color w:val="555555"/>
          <w:sz w:val="18"/>
        </w:rPr>
        <w:t xml:space="preserve">MAR</w:t>
      </w:r>
    </w:p>
    <w:p>
      <w:r>
        <w:rPr>
          <w:color w:val="555555"/>
          <w:sz w:val="18"/>
        </w:rPr>
        <w:t xml:space="preserve">Stand: 22.07.2026 (konsolidierte Textfassung, kein amtliches Inkrafttretensdatum)</w:t>
      </w:r>
    </w:p>
    <w:p>
      <w:r>
        <w:t xml:space="preserve">(1) Vorbehaltlich des Unterabsatzes 3 veröffentlichen die zuständigen Behörden jede Entscheidung über die Verhängung einer verwaltungsrechtlichen Sanktion oder verwaltungsrechtlichen Maßnahme in Bezug auf einen Verstoß gegen diese Verordnung auf ihrer offiziellen Website unverzüglich nachdem die von der Entscheidung betroffene Person darüber informiert wurde. Dabei werden mindestens Art und Charakter des Verstoßes und die Identität der verantwortlichen Personen bekanntgemacht.</w:t>
      </w:r>
    </w:p>
    <w:p>
      <w:r>
        <w:t xml:space="preserve">Unterabsatz 1 gilt nicht für Entscheidungen, mit denen Maßnahmen mit Ermittlungscharakter verhängt werden.</w:t>
      </w:r>
    </w:p>
    <w:p>
      <w:r>
        <w:t xml:space="preserve">Ist jedoch eine zuständige Behörde der Ansicht, dass die Bekanntmachung der Identität einer von der Entscheidung betroffenen juristischen Personen oder der personenbezogenen Daten einer natürlichen Personen einer einzelfallbezogenen Bewertung der Verhältnismäßigkeit dieser Daten zufolge unverhältnismäßig wäre, oder würde die Bekanntmachung laufende Ermittlungen oder die Stabilität der Finanzmärkte gefährden, so handeln die zuständigen Behörden wie folgt:</w:t>
      </w:r>
    </w:p>
    <w:p>
      <w:r>
        <w:t xml:space="preserve">a) Sie schieben die Veröffentlichung der Entscheidung auf, bis die Gründe für das Aufschieben weggefallen sind;</w:t>
      </w:r>
    </w:p>
    <w:p>
      <w:r>
        <w:t xml:space="preserve">b) sie veröffentlichen die Entscheidung im Einklang mit dem nationalen Recht in anonymer Fassung, wenn diese anonyme Fassung einen wirksamen Schutz der betreffenden personenbezogenen Daten gewährleistet;</w:t>
      </w:r>
    </w:p>
    <w:p>
      <w:r>
        <w:t xml:space="preserve">c) sie machen die Entscheidung nicht bekannt, wenn die zuständige Behörde der Auffassung ist, dass eine Veröffentlichung gemäß den Buchstaben a und b nicht ausreichend ist, um sicherzustellen, dass</w:t>
      </w:r>
    </w:p>
    <w:p>
      <w:r>
        <w:t xml:space="preserve">i) die Stabilität der Finanzmärkte nicht gefährdet würde, oder</w:t>
      </w:r>
    </w:p>
    <w:p>
      <w:r>
        <w:t xml:space="preserve">ii) die Verhältnismäßigkeit der Bekanntmachung derartiger Entscheidungen in Bezug auf unerhebliche Maßnahmen gewahrt bliebe.</w:t>
      </w:r>
    </w:p>
    <w:p>
      <w:r>
        <w:t xml:space="preserve">Trifft eine zuständige Behörde die Entscheidung, die Entscheidung in anonymer Fassung gemäß Unterabsatz 3 Buchstabe b zu veröffentlichen, so kann sie die Veröffentlichung der einschlägigen Daten um einen angemessenen Zeitraum aufschieben, wenn vorhersehbar ist, dass die Gründe für die anonyme Veröffentlichung innerhalb dieses Zeitraums entfallen werden.</w:t>
      </w:r>
    </w:p>
    <w:p>
      <w:r>
        <w:t xml:space="preserve">(2) Werden gegen die Entscheidung bei den nationalen Justiz-, Verwaltungs- oder sonstigen Behörden Rechtsbehelfe eingelegt, so machen die zuständigen Behörden auch diesen Sachverhalt und alle weiteren Informationen über das Ergebnis des Rechtsbehelfsverfahrens unverzüglich auf ihrer Website bekannt. Ferner wird jede Entscheidung, mit der eine mit Rechtsbehelfen angegriffene Entscheidung aufgehoben wird, ebenfalls bekanntgemacht.</w:t>
      </w:r>
    </w:p>
    <w:p>
      <w:r>
        <w:t xml:space="preserve">(3) Die zuständigen Behörden stellen sicher, dass jede veröffentlichte Entscheidung im Einklang mit diesem Artikel vom Zeitpunkt ihrer Veröffentlichung an während eines Zeitraums von mindestens fünf Jahren auf ihrer Website zugänglich bleibt. Enthält die Bekanntmachung personenbezogene Daten, so bleiben diese so lange auf der Website der zuständigen Behörde einsehbar, wie dies nach den geltenden Datenschutzbestimmungen erforderlich ist.</w:t>
      </w:r>
    </w:p>
    <w:p>
      <w:r>
        <w:rPr>
          <w:color w:val="555555"/>
          <w:sz w:val="17"/>
        </w:rPr>
        <w:t xml:space="preserve">Zitiervorschlag: Art 34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https://recht.nulegal.eu/gesetze/MAR/34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