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33 MAR — Informationsaustausch mit der ESMA</w:t>
      </w:r>
    </w:p>
    <w:p>
      <w:r>
        <w:rPr>
          <w:color w:val="555555"/>
          <w:sz w:val="18"/>
        </w:rPr>
        <w:t xml:space="preserve">MAR</w:t>
      </w:r>
    </w:p>
    <w:p>
      <w:r>
        <w:rPr>
          <w:color w:val="555555"/>
          <w:sz w:val="18"/>
        </w:rPr>
        <w:t xml:space="preserve">Stand: 22.07.2026 (konsolidierte Textfassung, kein amtliches Inkrafttretensdatum)</w:t>
      </w:r>
    </w:p>
    <w:p>
      <w:r>
        <w:t xml:space="preserve">(1) Die zuständigen Behörden stellen der ESMA jährlich aggregierte Informationen zu allen gemäß den Artikeln 30, 31 und 32 von den zuständigen Behörden verhängten verwaltungsrechtlichen Sanktionen, und anderen verwaltungsrechtlichen Maßnahmen bereit. Die ESMA veröffentlicht diese Informationen in einem Jahresbericht. Die zuständigen Behörden stellen der ESMA jährlich darüber hinaus anonymisierte, aggregierte Daten über alle Verwaltungsermittlungen, die im Rahmen jener Artikel erfolgen, bereit.</w:t>
      </w:r>
    </w:p>
    <w:p>
      <w:r>
        <w:t xml:space="preserve">(2) Haben die Mitgliedstaaten beschlossen, im Einklang mit Artikel 30 Absatz 1 Unterabsatz 2 strafrechtliche Sanktionen für die dort genannten Verstöße festzulegen, so stellen ihre zuständigen Behörden jährlich der ESMA anonymisierte, aggregierte Daten zu allen von den Justizbehörden geführten strafrechtlichen Ermittlungen und gemäß den Artikeln 30, 31 und 32 verhängten strafrechtlichen Sanktionen bereit. Die ESMA veröffentlicht die Daten zu den verhängten strafrechtlichen Sanktionen in einem Jahresbericht.</w:t>
      </w:r>
    </w:p>
    <w:p>
      <w:r>
        <w:t xml:space="preserve">(3) Hat die zuständige Behörde verwaltungsrechtliche Sanktionen, strafrechtliche Sanktionen oder andere verwaltungsrechtliche Maßnahmen öffentlich bekanntgegeben, meldet sie diese zugleich der ESMA.</w:t>
      </w:r>
    </w:p>
    <w:p>
      <w:r>
        <w:t xml:space="preserve">(4) Wenn eine veröffentlichte verwaltungsrechtliche Sanktion, strafrechtliche Sanktion oder andere verwaltungsrechtliche Maßnahme eine Wertpapierfirma betrifft, die gemäß der Richtlinie 2014/65/EU zugelassen ist, vermerkt die ESMA die veröffentlichte Sanktion oder Maßnahme im Register der Wertpapierfirmen, das gemäß Artikel 5 Absatz 3 der genannten Richtlinie erstellt worden ist.</w:t>
      </w:r>
    </w:p>
    <w:p>
      <w:r>
        <w:t xml:space="preserve">(5) Um einheitliche Bedingungen für die Anwendung dieses Artikels sicherzustellen, arbeitet die ESMA Entwürfe technischer Durchführungsstandards zur Festlegung der Verfahren und Formen des Informationsaustauschs gemäß diesem Artikel aus</w:t>
      </w:r>
    </w:p>
    <w:p>
      <w:r>
        <w:t xml:space="preserve">Die ESMA legt diese Entwürfe technischer Durchführungsstandards der Kommission bis zum 3. Juli 2016 vor.</w:t>
      </w:r>
    </w:p>
    <w:p>
      <w:r>
        <w:t xml:space="preserve">Der Kommission wird die Befugnis übertragen, die in Unterabsatz 1 genannten technischen Durchführungsstandards nach Artikel 15 der Verordnung (EU) Nr. 1095/2010 zu erlassen.</w:t>
      </w:r>
    </w:p>
    <w:p>
      <w:r>
        <w:rPr>
          <w:color w:val="555555"/>
          <w:sz w:val="17"/>
        </w:rPr>
        <w:t xml:space="preserve">Zitiervorschlag: Art 33 MAR</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https://recht.nulegal.eu/gesetze/MAR/33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