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MAR — Meldung von Verstößen</w:t>
      </w:r>
    </w:p>
    <w:p>
      <w:r>
        <w:rPr>
          <w:color w:val="555555"/>
          <w:sz w:val="18"/>
        </w:rPr>
        <w:t xml:space="preserve">MAR</w:t>
      </w:r>
    </w:p>
    <w:p>
      <w:r>
        <w:rPr>
          <w:color w:val="555555"/>
          <w:sz w:val="18"/>
        </w:rPr>
        <w:t xml:space="preserve">Stand: 22.07.2026 (konsolidierte Textfassung, kein amtliches Inkrafttretensdatum)</w:t>
      </w:r>
    </w:p>
    <w:p>
      <w:r>
        <w:t xml:space="preserve">(1) Die Mitgliedstaaten sorgen dafür, dass die zuständigen Behörden wirksame Mechanismen schaffen, um die Meldung tatsächlicher oder möglicher Verstöße gegen diese Verordnung zu ermöglichen.</w:t>
      </w:r>
    </w:p>
    <w:p>
      <w:r>
        <w:t xml:space="preserve">(2) Die in Absatz 1 genannten Mechanismen umfassen mindestens Folgendes:</w:t>
      </w:r>
    </w:p>
    <w:p>
      <w:r>
        <w:t xml:space="preserve">a) spezielle Verfahren für die Entgegennahme der Meldungen über Verstöße und deren Nachverfolgung, einschließlich der Einrichtung sicherer Kommunikationskanäle für derartige Meldungen;</w:t>
      </w:r>
    </w:p>
    <w:p>
      <w:r>
        <w:t xml:space="preserve">b) einen angemessenen Schutz von Personen, die im Rahmen ihrer Erwerbstätigkeit auf der Grundlage eines Arbeitsvertrags beschäftigt sind, die Verstöße melden oder denen Verstöße zur Last gelegt werden, vor Vergeltungsmaßnahmen, Diskriminierung oder anderen Arten ungerechter Behandlung und</w:t>
      </w:r>
    </w:p>
    <w:p>
      <w:r>
        <w:t xml:space="preserve">c) den Schutz personenbezogener Daten sowohl der Person, die den Verstoß meldet, als auch der natürlichen Person, die den Verstoß mutmaßlich begangen hat, einschließlich Schutz in Bezug auf die Wahrung der Vertraulichkeit ihrer Identität während aller Phasen des Verfahrens, und zwar unbeschadet der Tatsache, ob die Offenlegung von Informationen nach dem nationalen Recht im Rahmen der Ermittlungen oder des darauf folgenden Gerichtsverfahrens erforderlich sind.</w:t>
      </w:r>
    </w:p>
    <w:p>
      <w:r>
        <w:t xml:space="preserve">(3) Die Mitgliedstaaten verpflichten Arbeitgeber, die in Bereichen tätig sind, die durch Finanzdienstleistungsregulierung geregelt werden, angemessene interne Verfahren einzurichten, über die ihre Mitarbeiter Verstöße gegen diese Verordnung melden können.</w:t>
      </w:r>
    </w:p>
    <w:p>
      <w:r>
        <w:t xml:space="preserve">(4) Im Einklang mit nationalem Recht können die Mitgliedstaaten finanzielle Anreize für Personen, die relevante Informationen über mögliche Verstöße gegen diese Verordnung bereitstellen, unter der Voraussetzung gewähren, dass diese Personen nicht bereits zuvor anderen gesetzlichen oder vertraglichen Verpflichtungen zur Meldung solcher Informationen unterliegen, sowie unter der Voraussetzung, dass die Informationen neu sind und dass sie zur Verhängung einer verwaltungsrechtlichen oder einer strafrechtlichen Sanktion oder einer anderen verwaltungsrechtlichen Maßnahme für einen Verstoß gegen diese Verordnung führen.</w:t>
      </w:r>
    </w:p>
    <w:p>
      <w:r>
        <w:t xml:space="preserve">(5) Die Kommission erlässt Durchführungsrechtsakte zur Festlegung der in Absatz 1 genannten Verfahren, einschließlich zur Meldung und Nachverfolgung von Meldungen und der Maßnahmen zum Schutz von Personen, die auf der Grundlage eines Arbeitsvertrags tätig sind, sowie Maßnahmen zum Schutz personenbezogener Daten. Diese Durchführungsrechtsakte werden gemäß dem in Artikel 36 Absatz 2 genannten Prüfverfahren erlassen.</w:t>
      </w:r>
    </w:p>
    <w:p>
      <w:r>
        <w:rPr>
          <w:color w:val="555555"/>
          <w:sz w:val="17"/>
        </w:rPr>
        <w:t xml:space="preserve">Zitiervorschlag: Art 32 MAR</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https://recht.nulegal.eu/gesetze/MAR/32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