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31 MAR — Wahrnehmung der Aufsichtsbefugnisse und Verhängung von Sanktionen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Mitgliedstaaten stellen sicher, dass die zuständigen Behörden bei der Bestimmung der Art und der Höhe der verwaltungsrechtlichen Sanktionen alle relevanten Umstände für die Verhängung verhältnismäßiger Sanktionen berücksichtigen, darunter gegebenenfalls</w:t>
      </w:r>
    </w:p>
    <w:p>
      <w:r>
        <w:t xml:space="preserve">a) die Schwere und Dauer des Verstoßes;</w:t>
      </w:r>
    </w:p>
    <w:p>
      <w:r>
        <w:t xml:space="preserve">b) den Grad an Verantwortung der für den Verstoß verantwortlichen Person;</w:t>
      </w:r>
    </w:p>
    <w:p>
      <w:r>
        <w:t xml:space="preserve">c) die Finanzkraft der für den Verstoß verantwortlichen Person, wie sie sich zum Beispiel aus dem Gesamtumsatz einer juristischen Person oder dem persönlichen Jahreseinkommen einer natürlichen Person ablesen lässt;</w:t>
      </w:r>
    </w:p>
    <w:p>
      <w:r>
        <w:t xml:space="preserve">d) die Höhe der von der für den Verstoß verantwortlichen Person erzielten Gewinne oder vermiedenen Verluste, sofern diese sich beziffern lassen;</w:t>
      </w:r>
    </w:p>
    <w:p>
      <w:r>
        <w:t xml:space="preserve">e) das Ausmaß der Zusammenarbeit der für den Verstoß verantwortlichen Person mit der zuständigen Behörde, unbeschadet des Erfordernisses, die Einziehung der erzielten Gewinne oder vermiedenen Verluste dieser Person sicherzustellen;</w:t>
      </w:r>
    </w:p>
    <w:p>
      <w:r>
        <w:t xml:space="preserve">f) frühere Verstöße der für den Verstoß verantwortlichen Person;</w:t>
      </w:r>
    </w:p>
    <w:p>
      <w:r>
        <w:t xml:space="preserve">g) die Maßnahmen, die von der für den Verstoß verantwortlichen Person ergriffen wurden, um eine Wiederholung des Verstoßes zu verhindern, und</w:t>
      </w:r>
    </w:p>
    <w:p>
      <w:r>
        <w:t xml:space="preserve">h) den Nachteil, der der für den Verstoß verantwortlichen Person dadurch entsteht, dass für ein und dasselbe Verhalten sowohl strafrechtliche als auch verwaltungsrechtliche Verfahren und Strafen greifen.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31 MAR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