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MAR — Begriffsbestimmungen</w:t>
      </w:r>
    </w:p>
    <w:p>
      <w:r>
        <w:rPr>
          <w:color w:val="555555"/>
          <w:sz w:val="18"/>
        </w:rPr>
        <w:t xml:space="preserve">MAR</w:t>
      </w:r>
    </w:p>
    <w:p>
      <w:r>
        <w:rPr>
          <w:color w:val="555555"/>
          <w:sz w:val="18"/>
        </w:rPr>
        <w:t xml:space="preserve">Stand: 22.07.2026 (konsolidierte Textfassung, kein amtliches Inkrafttretensdatum)</w:t>
      </w:r>
    </w:p>
    <w:p>
      <w:r>
        <w:t xml:space="preserve">(1) Für die Zwecke dieser Verordnung gelten folgende Begriffsbestimmungen:</w:t>
      </w:r>
    </w:p>
    <w:p>
      <w:r>
        <w:t xml:space="preserve">1. „Finanzinstrument“ bezeichnet ein Finanzinstrument im Sinne von Artikel 4 Absatz 1 Nummer 15 der Richtlinie 2014/65/EU;</w:t>
      </w:r>
    </w:p>
    <w:p>
      <w:r>
        <w:t xml:space="preserve">2. „Wertpapierfirma“ bezeichnet eine Wertpapierfirma im Sinne von Artikel 4 Absatz 1 Nummer 1 der Richtlinie 2014/65/EU;</w:t>
      </w:r>
    </w:p>
    <w:p>
      <w:r>
        <w:t xml:space="preserve">3. „Kreditinstitut“ bezeichnet ein Kreditinstitut oder im Sinne des Artikels 4 Absatz 1 Nummer 1 der Verordnung (EU) Nr. 575/2013 des Europäischen Parlaments und des Rates ( 1 );</w:t>
      </w:r>
    </w:p>
    <w:p>
      <w:r>
        <w:t xml:space="preserve">4. „Finanzinstitut“ bezeichnet ein Finanzinstitut im Sinne von Artikel 4 Absatz 1 Nummer 26 der Verordnung (EU) Nr. 575/2013;</w:t>
      </w:r>
    </w:p>
    <w:p>
      <w:r>
        <w:t xml:space="preserve">5. „Marktbetreiber“ bezeichnet einen Marktbetreiber im Sinne von Artikel 4 Absatz 1 Nummer 18 der Richtlinie 2014/65/EU;</w:t>
      </w:r>
    </w:p>
    <w:p>
      <w:r>
        <w:t xml:space="preserve">6. „geregelter Markt“ bezeichnet einen geregelten Markt im Sinne von Artikel 4 Absatz 1 Nummer 21 der Richtlinie 2014/65/EU;</w:t>
      </w:r>
    </w:p>
    <w:p>
      <w:r>
        <w:t xml:space="preserve">7. „multilaterales Handelssystem“ bezeichnet ein multilaterales System in der Union im Sinne von Artikel 4 Absatz 1 Nummer 22 der Richtlinie 2014/65/EU;</w:t>
      </w:r>
    </w:p>
    <w:p>
      <w:r>
        <w:t xml:space="preserve">8. „organisiertes Handelssystem“ bezeichnet ein System oder eine Fazilität in der Union im Sinne von Artikel 4 Absatz 1 Nummer 23 der Richtlinie 2014/65/EU;</w:t>
      </w:r>
    </w:p>
    <w:p>
      <w:r>
        <w:t xml:space="preserve">9. „zulässige Marktpraxis“ bezeichnet eine bestimmte Marktpraxis, die von einer zuständigen Behörde gemäß Artikel 13 anerkannt wurde;</w:t>
      </w:r>
    </w:p>
    <w:p>
      <w:r>
        <w:t xml:space="preserve">10. „Handelsplatz“ bezeichnet einen Handelsplatz im Sinne von Artikel 4 Absatz 1 Nummer 24 der Richtlinie 2014/65/EU;</w:t>
      </w:r>
    </w:p>
    <w:p>
      <w:r>
        <w:t xml:space="preserve">11. „KMU-Wachstumsmarkt“ bezeichnet einen KMU-Wachstumsmarkt im Sinne von Artikel 4 Absatz 1 Nummer 12 der Richtlinie 2014/65/EU;</w:t>
      </w:r>
    </w:p>
    <w:p>
      <w:r>
        <w:t xml:space="preserve">12. „zuständige Behörde“ bezeichnet eine gemäß Artikel 22 benannte zuständige Behörde, sofern nicht in dieser Verordnung etwas anderes bestimmt ist;</w:t>
      </w:r>
    </w:p>
    <w:p>
      <w:r>
        <w:t xml:space="preserve">13. „Person“ bezeichnet eine natürliche oder juristische Person;</w:t>
      </w:r>
    </w:p>
    <w:p>
      <w:r>
        <w:t xml:space="preserve">14. „Ware“ bezeichnet eine Ware im Sinne von Artikel 2 Nummer 1 der Verordnung (EG) Nr. 1287/2006 der Kommission ( 2 );</w:t>
      </w:r>
    </w:p>
    <w:p>
      <w:r>
        <w:t xml:space="preserve">15. „Waren-Spot-Kontrakt“ bezeichnet einen Kontrakt über die Lieferung einer an einem Spotmarkt gehandelten Ware, die bei Abwicklung des Geschäfts unverzüglich geliefert wird, sowie einen Kontrakt über die Lieferung einer Ware, die kein Finanzinstrument ist, einschließlich physisch abzuwickelnde Terminkontrakte;</w:t>
      </w:r>
    </w:p>
    <w:p>
      <w:r>
        <w:t xml:space="preserve">16. „Spotmarkt“ bezeichnet einen Warenmarkt, an dem Waren gegen bar verkauft und bei Abwicklung des Geschäfts unverzüglich geliefert werden, und andere Märkte, die keine Finanzmärkte sind, beispielsweise Warenterminmärkte;</w:t>
      </w:r>
    </w:p>
    <w:p>
      <w:r>
        <w:t xml:space="preserve">17. „Rückkaufprogramm“ bezeichnet den Handel mit eigenen Aktien gemäß den Artikeln 21 bis 27 der Richtlinie 2012/30/EU des Europäischen Parlaments und des Rates ( 3 );</w:t>
      </w:r>
    </w:p>
    <w:p>
      <w:r>
        <w:t xml:space="preserve">18. „algorithmischer Handel“ bezeichnet den algorithmischen Handel mit im Sinne von Artikel 4 Absatz 1 Nummer 39 der Richtlinie 2014/65/EU;</w:t>
      </w:r>
    </w:p>
    <w:p>
      <w:r>
        <w:t xml:space="preserve">19. „Emissionszertifikat“ bezeichnet ein Emissionszertifikat im Sinne von Anhang I Abschnitt C Nummer 11 der Richtlinie 2014/65/EU;</w:t>
      </w:r>
    </w:p>
    <w:p>
      <w:r>
        <w:t xml:space="preserve">20. „Teilnehmer am Markt für Emissionszertifikate“ bezeichnet eine Person, die Geschäfte einschließlich der Erteilung von Handelsaufträgen, mit Emissionszertifikaten und anderen darauf beruhenden Auktionsobjekten oder Derivaten betreibt, und die nicht unter die Ausnahme von Artikel 17 Absatz 2 Unterabsatz 2 fällt;</w:t>
      </w:r>
    </w:p>
    <w:p>
      <w:r>
        <w:t xml:space="preserve">21. „Emittent“ bezeichnet eine juristische Person des privaten oder öffentlichen Rechts, die Finanzinstrumente emittiert oder deren Emission vorschlägt, wobei der Emittent im Fall von Hinterlegungsscheinen, die Finanzinstrumente repräsentieren, der Emittent des repräsentierten Finanzinstruments ist;</w:t>
      </w:r>
    </w:p>
    <w:p>
      <w:r>
        <w:t xml:space="preserve">22. „Energiegroßhandelsprodukt“ bezeichnet ein Energiegroßhandelsprodukt im Sinne von Artikel 2 Nummer 4 der Verordnung (EU) Nr. 1227/2011;</w:t>
      </w:r>
    </w:p>
    <w:p>
      <w:r>
        <w:t xml:space="preserve">23. „nationale Regulierungsbehörde“ bezeichnet eine nationale Regulierungsbehörde im Sinne von Artikel 2 Nummer 10 der Verordnung (EU) Nr. 1227/2011;</w:t>
      </w:r>
    </w:p>
    <w:p>
      <w:r>
        <w:t xml:space="preserve">24. „Warenderivate“ bezeichnet Warenderivate im Sinne von Artikel 2 Absatz 1 Nummer 30 der Verordnung (EU) Nr. 600/2014 des Europäischen Parlaments und des Rates ( 4 );</w:t>
      </w:r>
    </w:p>
    <w:p>
      <w:r>
        <w:t xml:space="preserve">25. eine „Person, die Führungsaufgaben wahrnimmt“, bezeichnet eine Person innerhalb eines Emittenten, eines Teilnehmers am Markt für Emissionszertifikate oder eines anderen in Artikel 19 Absatz 10 genannten Unternehmens,</w:t>
      </w:r>
    </w:p>
    <w:p>
      <w:r>
        <w:t xml:space="preserve">a) die einem Verwaltungs-, Leitungs- oder Aufsichtsorgan dieses Unternehmens angehört oder</w:t>
      </w:r>
    </w:p>
    <w:p>
      <w:r>
        <w:t xml:space="preserve">b) die als höhere Führungskraft zwar keinem der unter Buchstabe a genannten Organe angehört, aber regelmäßig Zugang zu Insiderinformationen mit direktem oder indirektem Bezug zu diesem Unternehmen hat und befugt ist, unternehmerische Entscheidungen über zukünftige Entwicklungen und Geschäftsperspektiven dieses Unternehmens zu treffen;</w:t>
      </w:r>
    </w:p>
    <w:p>
      <w:r>
        <w:t xml:space="preserve">26. „eng verbundene Person“ bezeichnet</w:t>
      </w:r>
    </w:p>
    <w:p>
      <w:r>
        <w:t xml:space="preserve">a) den Ehepartner oder einen Partner dieser Person, der nach nationalem Recht einem Ehepartner gleichgestellt ist;</w:t>
      </w:r>
    </w:p>
    <w:p>
      <w:r>
        <w:t xml:space="preserve">b) ein unterhaltsberechtigtes Kind entsprechend dem nationalen Recht;</w:t>
      </w:r>
    </w:p>
    <w:p>
      <w:r>
        <w:t xml:space="preserve">c) einen Verwandten, der zum Zeitpunkt der Tätigung des betreffenden Geschäfts seit mindestens einem Jahr demselben Haushalt angehört oder</w:t>
      </w:r>
    </w:p>
    <w:p>
      <w:r>
        <w:t xml:space="preserve">d) eine juristische Person, Treuhand oder Personengesellschaft, deren Führungsaufgaben durch eine Person, die Führungsaufgaben wahrnimmt, oder durch eine in den Buchstaben a, b oder c genannte Person wahrgenommen werden, oder die direkt oder indirekt von einer solchen Person kontrolliert wird, oder die zugunsten einer solchen Person gegründet wurde oder deren wirtschaftliche Interessen weitgehend denen einer solchen Person entsprechen;</w:t>
      </w:r>
    </w:p>
    <w:p>
      <w:r>
        <w:t xml:space="preserve">27. „Datenverkehrsaufzeichnungen“ bezeichnet die Aufzeichnungen von Verkehrsdaten im Sinne von Artikel 2 Buchstabe b Unterabsatz 2 der Richtlinie 2002/58/EG des Europäischen Parlaments und des Rates ( 5 );</w:t>
      </w:r>
    </w:p>
    <w:p>
      <w:r>
        <w:t xml:space="preserve">28. „Person, die beruflich Geschäfte vermittelt oder ausführt“ bezeichnet eine Person, die beruflich mit der Entgegennahme und Übermittlung von Aufträgen oder der Ausführung von Geschäften mit Finanzinstrumenten befasst ist;</w:t>
      </w:r>
    </w:p>
    <w:p>
      <w:r>
        <w:t xml:space="preserve">29. „Referenzwert“ bezeichnet einen Kurs, Index oder Wert, der der Öffentlichkeit zugänglich gemacht oder veröffentlicht wird und periodisch oder regelmäßig durch die Anwendung einer Formel auf den Wert eines oder mehrerer Basiswerte oder -preise, einschließlich geschätzter Preise, tatsächlicher oder geschätzter Zinssätze oder sonstiger Werte, oder auf Erhebungsdaten ermittelt bzw. auf der Grundlage dieser Werte bestimmt wird und auf den bei der Festsetzung des für ein Finanzinstrument zu entrichtenden Betrags oder des Wertes eines Finanzinstruments Bezug genommen wird;</w:t>
      </w:r>
    </w:p>
    <w:p>
      <w:r>
        <w:t xml:space="preserve">30. „Market-Maker“ bezeichnet einen Market-Maker im Sinne von Artikel 4 Absatz 1 Nummer 7 der Richtlinie 2014/65/EU;</w:t>
      </w:r>
    </w:p>
    <w:p>
      <w:r>
        <w:t xml:space="preserve">31. „Beteiligungsaufbau“ bezeichnet den Erwerb von Anteilen an einem Unternehmen, durch den keine rechtliche oder regulatorische Verpflichtung entsteht, in Bezug auf das Unternehmen ein öffentliches Übernahmeangebot abzugeben;</w:t>
      </w:r>
    </w:p>
    <w:p>
      <w:r>
        <w:t xml:space="preserve">32. „offenlegender Marktteilnehmer“ bezeichnet eine natürliche oder juristische Person, die zu einer der Kategorien gemäß Artikel 11 Absatz 1 Buchstaben a bis d sowie Artikel 11 Absatz 2 gehört und im Zuge einer Marktsondierung Informationen offenlegt;</w:t>
      </w:r>
    </w:p>
    <w:p>
      <w:r>
        <w:t xml:space="preserve">33. „Hochfrequenzhandel“ bezeichnet die Methode des algorithmischen Hochfrequenzhandels im Sinne des Artikels 4 Absatz 1 Nummer 40 der Richtlinie 2014/65/EU;</w:t>
      </w:r>
    </w:p>
    <w:p>
      <w:r>
        <w:t xml:space="preserve">34. „Empfehlung oder Vorschlag einer Anlagestrategie“ bezeichnet</w:t>
      </w:r>
    </w:p>
    <w:p>
      <w:r>
        <w:t xml:space="preserve">i) eine von einem unabhängigen Analysten, einer Wertpapierfirma, einem Kreditinstitut oder einer sonstigen Person, deren Haupttätigkeit in der Erstellung von Anlageempfehlungen besteht, oder einer bei den genannten Einrichtungen im Rahmen eines Arbeitsvertrags oder anderweitig tätigen natürlichen Person erstellte Information, die direkt oder indirekt einen bestimmten Anlagevorschlag zu einem Finanzinstrument oder einem Emittenten darstellt;</w:t>
      </w:r>
    </w:p>
    <w:p>
      <w:r>
        <w:t xml:space="preserve">ii) eine von anderen als den in Ziffer i genannten Personen erstellte Information, die direkt eine bestimmte Anlageentscheidung zu einem Finanzinstrument vorschlägt;</w:t>
      </w:r>
    </w:p>
    <w:p>
      <w:r>
        <w:t xml:space="preserve">35. „Anlageempfehlungen“ bezeichnet Informationen mit expliziten oder impliziten Empfehlungen oder Vorschlägen zu Anlagestrategien in Bezug auf ein oder mehrere Finanzinstrumente oder Emittenten, die für Verbreitungskanäle oder die Öffentlichkeit vorgesehen sind, einschließlich einer Beurteilung des aktuellen oder künftigen Wertes oder Kurses solcher Instrumente;</w:t>
      </w:r>
    </w:p>
    <w:p>
      <w:r>
        <w:t xml:space="preserve">36. „systematischer Internalisierer“ bezeichnet einen systematischen Internalisierer im Sinne von Artikel 4 Absatz 1 Nummer 20 der Richtlinie 2014/65/EU.</w:t>
      </w:r>
    </w:p>
    <w:p>
      <w:r>
        <w:t xml:space="preserve">(2) Für die Anwendung des Artikels 5 gelten folgende Begriffsbestimmungen</w:t>
      </w:r>
    </w:p>
    <w:p>
      <w:r>
        <w:t xml:space="preserve">a) „Wertpapiere“ bezeichnet:</w:t>
      </w:r>
    </w:p>
    <w:p>
      <w:r>
        <w:t xml:space="preserve">i) Aktien und andere Wertpapiere, die Aktien entsprechen;</w:t>
      </w:r>
    </w:p>
    <w:p>
      <w:r>
        <w:t xml:space="preserve">ii) Schuldverschreibungen und sonstige verbriefte Schuldtitel oder</w:t>
      </w:r>
    </w:p>
    <w:p>
      <w:r>
        <w:t xml:space="preserve">iii) verbriefte Schuldtitel, die in Aktien oder andere Wertpapiere, die Aktien entsprechen, umgewandelt bzw. gegen diese eingetauscht werden können.</w:t>
      </w:r>
    </w:p>
    <w:p>
      <w:r>
        <w:t xml:space="preserve">b) „verbundene Instrumente“ bezeichnet die nachstehend genannten Finanzinstrumente selbst wenn sie nicht zum Handel auf einem Handelsplatz zugelassen sind, gehandelt werden oder für sie kein Antrag auf Zulassung zum Handel auf einem solchen Handelsplatz gestellt wurde:</w:t>
      </w:r>
    </w:p>
    <w:p>
      <w:r>
        <w:t xml:space="preserve">i) Verträge über bzw. Rechte auf Zeichnung, Kauf oder Verkauf von Wertpapieren,</w:t>
      </w:r>
    </w:p>
    <w:p>
      <w:r>
        <w:t xml:space="preserve">ii) Finanzderivate auf Wertpapiere,</w:t>
      </w:r>
    </w:p>
    <w:p>
      <w:r>
        <w:t xml:space="preserve">iii) bei wandel- oder austauschbaren Schuldtiteln die Wertpapiere, in die diese wandel- oder austauschbaren Titel umgewandelt bzw. gegen die sie eingetauscht werden können,</w:t>
      </w:r>
    </w:p>
    <w:p>
      <w:r>
        <w:t xml:space="preserve">iv) Instrumente, die vom Emittenten oder Garantiegeber der Wertpapiere ausgegeben werden bzw. besichert sind und deren Marktkurs den Kurs der Wertpapiere erheblich beeinflussen könnte oder umgekehrt,</w:t>
      </w:r>
    </w:p>
    <w:p>
      <w:r>
        <w:t xml:space="preserve">v) in Fällen, in denen die Wertpapiere Aktien entsprechen, die von diesen vertretenen Aktien bzw. die von diesen vertretenen anderen Wertpapiere, die Aktien entsprechen;</w:t>
      </w:r>
    </w:p>
    <w:p>
      <w:r>
        <w:t xml:space="preserve">c) „signifikantes Zeichnungsangebot“ bezeichnet eine Erst- oder Zweitplatzierung von Wertpapieren, die sich sowohl hinsichtlich des Werts der angebotenen Wertpapiere als auch hinsichtlich der Verkaufsmethoden vom üblichen Handel unterscheidet;</w:t>
      </w:r>
    </w:p>
    <w:p>
      <w:r>
        <w:t xml:space="preserve">d) „Kursstabilisierung“ ist jeder Kauf bzw. jedes Angebot zum Kauf von Wertpapieren oder eine Transaktion mit vergleichbaren verbundenen Instrumenten, die ein Kreditinstitut oder eine Wertpapierfirma im Rahmen eines signifikanten Zeichnungsangebots für diese Wertpapiere mit dem alleinigen Ziel tätigen, den Marktkurs dieser Wertpapiere für einen im Voraus bestimmten Zeitraum zu stützen, wenn auf diese Wertpapiere Verkaufsdruck besteht.</w:t>
      </w:r>
    </w:p>
    <w:p>
      <w:r>
        <w:rPr>
          <w:color w:val="555555"/>
          <w:sz w:val="17"/>
        </w:rPr>
        <w:t xml:space="preserve">Zitiervorschlag: Art 3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