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MAR — Befugnisse der zuständigen Behörden</w:t>
      </w:r>
    </w:p>
    <w:p>
      <w:r>
        <w:rPr>
          <w:color w:val="555555"/>
          <w:sz w:val="18"/>
        </w:rPr>
        <w:t xml:space="preserve">MAR</w:t>
      </w:r>
    </w:p>
    <w:p>
      <w:r>
        <w:rPr>
          <w:color w:val="555555"/>
          <w:sz w:val="18"/>
        </w:rPr>
        <w:t xml:space="preserve">Stand: 22.07.2026 (konsolidierte Textfassung, kein amtliches Inkrafttretensdatum)</w:t>
      </w:r>
    </w:p>
    <w:p>
      <w:r>
        <w:t xml:space="preserve">(1) Die zuständigen Behörde nehmen ihre Aufgaben und Befugnisse wahlweise folgendermaßen wahr:</w:t>
      </w:r>
    </w:p>
    <w:p>
      <w:r>
        <w:t xml:space="preserve">a) unmittelbar,</w:t>
      </w:r>
    </w:p>
    <w:p>
      <w:r>
        <w:t xml:space="preserve">b) in Zusammenarbeit mit anderen Behörden oder den Marktteilnehmern,</w:t>
      </w:r>
    </w:p>
    <w:p>
      <w:r>
        <w:t xml:space="preserve">c) indem sie als verantwortliche Behörde Aufgaben auf andere Behörden oder Marktteilnehmer übertragen,</w:t>
      </w:r>
    </w:p>
    <w:p>
      <w:r>
        <w:t xml:space="preserve">d) durch Antrag bei den zuständigen Justizbehörden.</w:t>
      </w:r>
    </w:p>
    <w:p>
      <w:r>
        <w:t xml:space="preserve">(2) Zur Wahrnehmung ihrer Aufgaben gemäß dieser Verordnung müssen die zuständigen Behörden nach nationalem Recht zumindest über die folgenden Aufsichts- und Ermittlungsbefugnisse verfügen:</w:t>
      </w:r>
    </w:p>
    <w:p>
      <w:r>
        <w:t xml:space="preserve">a) Zugang zu jedweden Unterlagen und Daten in jeder Form zu haben und Kopien von ihnen zu erhalten oder anzufertigen;</w:t>
      </w:r>
    </w:p>
    <w:p>
      <w:r>
        <w:t xml:space="preserve">b) von jeder Person, auch von solchen, die nacheinander an der Übermittlung von Aufträgen oder an der Ausführung der betreffenden Tätigkeiten beteiligt sind, sowie von deren Auftraggebern Auskünfte zu verlangen oder zu fordern und erforderlichenfalls zum Erhalt von Informationen eine Person vorzuladen und zu befragen;</w:t>
      </w:r>
    </w:p>
    <w:p>
      <w:r>
        <w:t xml:space="preserve">c) in Bezug auf Warenderivate Informationen in genormten Formaten von Teilnehmern der entsprechenden Spotmärkte anzufordern, Meldungen über Geschäfte zu erhalten und direkt auf die Systeme der Händler zuzugreifen;</w:t>
      </w:r>
    </w:p>
    <w:p>
      <w:r>
        <w:t xml:space="preserve">d) an anderen Orten als den privaten Wohnräumen natürlicher Personen Prüfungen und Ermittlungen vor Ort durchzuführen;</w:t>
      </w:r>
    </w:p>
    <w:p>
      <w:r>
        <w:t xml:space="preserve">e) vorbehaltlich des Unterabsatzes 2 die Räumlichkeiten natürlicher und juristischer Personen zu betreten und Dokumente um Daten in jeder Form zu beschlagnahmen, wenn der begründete Verdacht besteht, dass Dokumente oder Daten, die sich auf den Gegenstand der Überprüfung oder Ermittlung beziehen, für den Nachweis von Insidergeschäften oder Marktmanipulation unter Verstoß gegen diese Verordnung relevant sein können;</w:t>
      </w:r>
    </w:p>
    <w:p>
      <w:r>
        <w:t xml:space="preserve">f) eine Sache zwecks strafrechtlicher Verfolgung weiterzuverweisen;</w:t>
      </w:r>
    </w:p>
    <w:p>
      <w:r>
        <w:t xml:space="preserve">g) bestehende Aufzeichnungen von Telefongesprächen, elektronischen Mitteilungen oder Datenverkehrsaufzeichnungen im Besitz von Wertpapierfirmen, Kreditinstituten oder Finanzinstituten sowie Referenzwert-Administratoren und beaufsichtigten Kontributoren anzufordern;</w:t>
      </w:r>
    </w:p>
    <w:p>
      <w:r>
        <w:t xml:space="preserve">h) bestehende Datenverkehrsaufzeichnungen im Besitz einer Telekommunikationsgesellschaft anzufordern, wenn der begründete Verdacht eines Verstoßes besteht und wenn diese Aufzeichnungen für die Untersuchung eines Verstoßes gegen Artikel 14 Buchstaben a oder b oder Artikel 15 relevant sein können, soweit dies nach nationalem Recht zulässig ist;</w:t>
      </w:r>
    </w:p>
    <w:p>
      <w:r>
        <w:t xml:space="preserve">i) das Einfrieren oder die Beschlagnahme von Vermögenswerten oder beides zu beantragen;</w:t>
      </w:r>
    </w:p>
    <w:p>
      <w:r>
        <w:t xml:space="preserve">j) den Handel mit den betreffenden Finanzinstrumenten auszusetzen;</w:t>
      </w:r>
    </w:p>
    <w:p>
      <w:r>
        <w:t xml:space="preserve">k) die vorübergehende Einstellung von Handlungen zu verlangen, die gemäß der Auffassung der zuständigen Behörde gegen dieser Verordnung verstoßen;</w:t>
      </w:r>
    </w:p>
    <w:p>
      <w:r>
        <w:t xml:space="preserve">l) ein vorübergehendes Verbot der Ausübung der Berufstätigkeit zu verhängen und</w:t>
      </w:r>
    </w:p>
    <w:p>
      <w:r>
        <w:t xml:space="preserve">m) alle erforderlichen Maßnahmen zu ergreifen, damit die Öffentlichkeit ordnungsgemäß informiert wird, unter anderem durch die Richtigstellung falscher oder irreführender offengelegter Informationen, einschließlich der Verpflichtung von Emittenten oder anderen Personen, die falsche oder irreführende Informationen verbreitet haben, eine Berichtigung zu veröffentlichen.</w:t>
      </w:r>
    </w:p>
    <w:p>
      <w:r>
        <w:t xml:space="preserve">Falls gemäß dem nationalen Recht eine vorherige Genehmigung der zuständigen Justizbehörde des betreffenden Mitgliedstaats erforderlich ist, um Räumlichkeiten von den in Unterabsatz 1 Buchstabe e genannten natürlichen oder juristischen Personen zu betreten, wird von der in Unterabsatz 1 Buchstabe e genannten Befugnis erst nach Einholung dieser vorherigen Genehmigung Gebrauch gemacht.</w:t>
      </w:r>
    </w:p>
    <w:p>
      <w:r>
        <w:t xml:space="preserve">(3) Die Mitgliedstaaten stellen durch geeignete Maßnahmen sicher, dass die zuständigen Behörden alle zur Wahrnehmung ihrer Aufgaben erforderlichen Aufsichts- und Ermittlungsbefugnisse haben.</w:t>
      </w:r>
    </w:p>
    <w:p>
      <w:r>
        <w:t xml:space="preserve">Diese Verordnung lässt Gesetze sowie Rechts- und Verwaltungsvorschriften, die in Bezug auf Übernahmeangebote, Zusammenschlüsse und andere Transaktionen erlassen werden, die die Eigentumsverhältnisse oder die Kontrolle von Unternehmen betreffen und die durch die von den Mitgliedstaaten gemäß Artikel 4 der Richtlinie 2004/25/EG des Europäischen Parlaments und des Rates benannten Aufsichtsbehörden reguliert werden und zusätzlich zu den Anforderungen dieser Verordnung weitere Anforderungen auferlegen, unberührt.</w:t>
      </w:r>
    </w:p>
    <w:p>
      <w:r>
        <w:t xml:space="preserve">(4) Wenn eine Person der zuständigen Behörde im Einklang mit dieser Verordnung Informationen meldet, gilt das nicht als Verstoß gegen eine etwaige vertraglich oder durch Rechts- oder Verwaltungsvorschriften geregelte Einschränkung der Offenlegung von Informationen und hat keine diesbezügliche Haftung der Person, die die Meldung erstattet hat, zur Folge.</w:t>
      </w:r>
    </w:p>
    <w:p>
      <w:r>
        <w:rPr>
          <w:color w:val="555555"/>
          <w:sz w:val="17"/>
        </w:rPr>
        <w:t xml:space="preserve">Zitiervorschlag: Art 23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