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MAR — Anlageempfehlungen und Statistik</w:t>
      </w:r>
    </w:p>
    <w:p>
      <w:r>
        <w:rPr>
          <w:color w:val="555555"/>
          <w:sz w:val="18"/>
        </w:rPr>
        <w:t xml:space="preserve">MAR</w:t>
      </w:r>
    </w:p>
    <w:p>
      <w:r>
        <w:rPr>
          <w:color w:val="555555"/>
          <w:sz w:val="18"/>
        </w:rPr>
        <w:t xml:space="preserve">Stand: 22.07.2026 (konsolidierte Textfassung, kein amtliches Inkrafttretensdatum)</w:t>
      </w:r>
    </w:p>
    <w:p>
      <w:r>
        <w:t xml:space="preserve">(1) Personen, die Anlageempfehlungen oder andere Informationen, durch die eine Anlagestrategie empfohlen oder vorgeschlagen wird, erstellen oderverbreiten, tragen in angemessener Weise dafür Sorge, dass die Informationen objektiv dargestellt und ihre Interessen oder Interessenkonflikte hinsichtlich der Finanzinstrumente, auf die diese Informationen sich beziehen, offengelegt werden.</w:t>
      </w:r>
    </w:p>
    <w:p>
      <w:r>
        <w:t xml:space="preserve">(2) Öffentliche Stellen, die Statistiken oder Prognosen verbreiten, welche die Finanzmärkte erheblich beeinflussen könnten, haben dies auf objektive und transparente Weise zu tun.</w:t>
      </w:r>
    </w:p>
    <w:p>
      <w:r>
        <w:t xml:space="preserve">(3) Um eine durchgehende Harmonisierung dieses Artikels sicherzustellen, arbeitet die ESMA Entwürfe technischer Durchführungsstandards aus, um die technischen Modalitäten für die in Absatz 1 genannten Personengruppen, für die objektive Darstellung von Anlageempfehlungen oder anderen Informationen mit Empfehlungen oder Vorschlägen zu Anlagestrategien sowie für die Offenlegung bestimmter Interessen oder Anzeichen für Interessenkonflikte festzulegen.</w:t>
      </w:r>
    </w:p>
    <w:p>
      <w:r>
        <w:t xml:space="preserve">Die ESMA legt der Kommission bis zum 3. Juli 2015 diese Entwürfe technischer Regulierungsstandards vor.</w:t>
      </w:r>
    </w:p>
    <w:p>
      <w:r>
        <w:t xml:space="preserve">Der Kommission wird die Befugnis übertragen, die in Unterabsatz 1 genannten technischen Regulierungsstandards nach Artikel 10 bis 14 der Verordnung (EU) Nr. 1095/2010 zu erlassen.</w:t>
      </w:r>
    </w:p>
    <w:p>
      <w:r>
        <w:t xml:space="preserve">Die in den in Absatz 3 genannten technischen Regulierungsstandards niedergelegten technischen Modalitäten finden keine Anwendung auf Journalisten, die einer gleichwertigen angemessenen Regelung — einschließlich einer gleichwertigen angemessenen Selbstregulierung — in den Mitgliedstaaten unterliegen, sofern mit einer solchen Regelung eine ähnliche Wirkung erzielt wird wie mit den technischen Modalitäten. Die Mitgliedstaaten teilen den Wortlaut dieser gleichwertigen angemessenen Regelung der Kommission mit.</w:t>
      </w:r>
    </w:p>
    <w:p>
      <w:r>
        <w:rPr>
          <w:color w:val="555555"/>
          <w:sz w:val="17"/>
        </w:rPr>
        <w:t xml:space="preserve">Zitiervorschlag: Art 20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