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MAR — Anwendungsbereich</w:t>
      </w:r>
    </w:p>
    <w:p>
      <w:r>
        <w:rPr>
          <w:color w:val="555555"/>
          <w:sz w:val="18"/>
        </w:rPr>
        <w:t xml:space="preserve">MAR</w:t>
      </w:r>
    </w:p>
    <w:p>
      <w:r>
        <w:rPr>
          <w:color w:val="555555"/>
          <w:sz w:val="18"/>
        </w:rPr>
        <w:t xml:space="preserve">Stand: 22.07.2026 (konsolidierte Textfassung, kein amtliches Inkrafttretensdatum)</w:t>
      </w:r>
    </w:p>
    <w:p>
      <w:r>
        <w:t xml:space="preserve">(1) Diese Verordnung gilt für</w:t>
      </w:r>
    </w:p>
    <w:p>
      <w:r>
        <w:t xml:space="preserve">a) Finanzinstrumente, die zum Handel auf einem geregelten Markt zugelassen sind oder für die ein Antrag auf Zulassung zum Handel auf einem geregelten Markt gestellt wurde;</w:t>
      </w:r>
    </w:p>
    <w:p>
      <w:r>
        <w:t xml:space="preserve">b) Finanzinstrumente, die in einem multilateralen Handelssystem gehandelt werden, zum Handel in einem multilateralen Handelssystem zugelassen sind oder für die ein Antrag auf Zulassung zum Handel in einem multilateralen Handelssystem gestellt wurde;</w:t>
      </w:r>
    </w:p>
    <w:p>
      <w:r>
        <w:t xml:space="preserve">c) Finanzinstrumente, die in einem organisierten Handelssystem gehandelt werden;</w:t>
      </w:r>
    </w:p>
    <w:p>
      <w:r>
        <w:t xml:space="preserve">d) Finanzinstrumente, die nicht unter die Buchstaben a, b oder c fallen, deren Kurs oder Wert jedoch von dem Kurs oder Wert eines unter diesen Buchstaben genannten Finanzinstruments abhängt oder sich darauf auswirkt; sie umfassen Kreditausfall-Swaps oder Differenzkontrakte, sind jedoch nicht darauf beschränkt.</w:t>
      </w:r>
    </w:p>
    <w:p>
      <w:r>
        <w:t xml:space="preserve">Diese Verordnung gilt außerdem für Handlungen und Geschäfte, darunter Gebote, bezüglich Versteigerungen von Treibhausgasemissionszertifikaten und anderen darauf beruhenden Auktionsobjekten auf einer als geregelten Markt zugelassenen Versteigerungsplattform gemäß der Verordnung (EU) Nr. 1031/2010, selbst wenn die versteigerten Produkte keine Finanzinstrumente sind. Sämtliche Vorschriften und Verbote dieser Verordnung in Bezug auf Handelsaufträge gelten unbeschadet etwaiger besonderer Bestimmungen zu den im Rahmen einer Versteigerung abgegebenen Geboten für diese Gebote.</w:t>
      </w:r>
    </w:p>
    <w:p>
      <w:r>
        <w:t xml:space="preserve">(2) Die Artikel 12 und 15 gelten auch für</w:t>
      </w:r>
    </w:p>
    <w:p>
      <w:r>
        <w:t xml:space="preserve">a) Waren-Spot-Kontrakte, die keine Energiegroßhandelsprodukte sind, bei denen die Transaktion, der Auftrag oder die Handlung eine Auswirkung auf den Kurs oder den Wert eines Finanzinstruments gemäß Absatz 1 hat, oder eine solche Auswirkung wahrscheinlich oder beabsichtigt ist;</w:t>
      </w:r>
    </w:p>
    <w:p>
      <w:r>
        <w:t xml:space="preserve">b) Arten von Finanzinstrumenten, darunter Derivatekontrakte und derivative Finanzinstrumente für die Übertragung von Kreditrisiken, bei denen das Geschäft, der Auftrag, das Gebot oder das Verhalten eine Auswirkung auf den Kurs oder Wert eines Waren-Spot-Kontrakts hat oder voraussichtlich haben wird, dessen Kurs oder Wert vom Kurs oder Wert dieser Finanzinstrumente abhängen, und</w:t>
      </w:r>
    </w:p>
    <w:p>
      <w:r>
        <w:t xml:space="preserve">c) Handlungen in Bezug auf Referenzwerte</w:t>
      </w:r>
    </w:p>
    <w:p>
      <w:r>
        <w:t xml:space="preserve">(3) Diese Verordnung gilt für alle Geschäfte, Aufträge und Handlungen, die eines der in den Absätzen 1 und 2 genannten Finanzinstrumente betreffen, unabhängig davon, ob ein solches Geschäft, ein solcher Auftrag oder eine solche Handlung auf einem Handelsplatz getätigt wurden.</w:t>
      </w:r>
    </w:p>
    <w:p>
      <w:r>
        <w:t xml:space="preserve">(4) Die Verbote und Anforderungen dieser Verordnung gelten für Handlungen und Unterlassungen in der Union und in Drittländern in Bezug auf die in den Absätzen 1 und 2 genannten Instrumente.</w:t>
      </w:r>
    </w:p>
    <w:p>
      <w:r>
        <w:rPr>
          <w:color w:val="555555"/>
          <w:sz w:val="17"/>
        </w:rPr>
        <w:t xml:space="preserve">Zitiervorschlag: Art 2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