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19 MAR — Eigengeschäfte von Führungskräften</w:t>
      </w:r>
    </w:p>
    <w:p>
      <w:r>
        <w:rPr>
          <w:color w:val="555555"/>
          <w:sz w:val="18"/>
        </w:rPr>
        <w:t xml:space="preserve">MAR</w:t>
      </w:r>
    </w:p>
    <w:p>
      <w:r>
        <w:rPr>
          <w:color w:val="555555"/>
          <w:sz w:val="18"/>
        </w:rPr>
        <w:t xml:space="preserve">Stand: 22.07.2026 (konsolidierte Textfassung, kein amtliches Inkrafttretensdatum)</w:t>
      </w:r>
    </w:p>
    <w:p>
      <w:r>
        <w:t xml:space="preserve">(1) Personen, die Führungsaufgaben wahrnehmen, sowie in enger Beziehung zu ihnen stehende Personen melden dem Emittenten oder dem Teilnehmer am Markt für Emissionszertifikate und der in Absatz 2 Unterabsatz 2 genannten zuständigen Behörde</w:t>
      </w:r>
    </w:p>
    <w:p>
      <w:r>
        <w:t xml:space="preserve">a) in Bezug auf Emittenten jedes Eigengeschäft mit Anteilen oder Schuldtiteln dieses Emittenten oder damit verbundenen Derivaten oder anderen damit verbundenen Finanzinstrumenten;</w:t>
      </w:r>
    </w:p>
    <w:p>
      <w:r>
        <w:t xml:space="preserve">b) in Bezug auf Teilnehmer am Markt für Emissionszertifikate jedes Eigengeschäft mit Emissionszertifikaten, darauf beruhenden Auktionsobjekten oder deren damit verbundenen Derivaten. Diese Meldungen sind unverzüglich und spätestens drei Geschäftstage nach dem Datum des Geschäft vorzunehmen. Unterabsatz 1 gilt ab dem Zeitpunkt, an dem der sich aus den Geschäften ergebende Gesamtbetrag den in Absatz 8 beziehungsweise 9 genannten Schwellenwert innerhalb eines Kalenderjahrs erreicht hat.</w:t>
      </w:r>
    </w:p>
    <w:p>
      <w:r>
        <w:t xml:space="preserve">(1a) Die in Absatz 1 genannte Meldepflicht gilt nicht für Geschäfte mit Finanzinstrumenten in Verbindung mit in jenem Absatz genannten Anteilen oder Schuldtiteln des Emittenten, wenn zum Zeitpunkt des Geschäfts eine der folgenden Voraussetzung vorliegt:</w:t>
      </w:r>
    </w:p>
    <w:p>
      <w:r>
        <w:t xml:space="preserve">a) Das Finanzinstrument ist ein Anteil oder eine Aktie an einem Organismus für gemeinsame Anlagen, bei dem die Risikoposition gegenüber den Anteilen oder Schuldtiteln des Emittenten 20 % der von dem Organismus für gemeinsame Anlagen gehaltenen Vermögenswerte nicht übersteigt.</w:t>
      </w:r>
    </w:p>
    <w:p>
      <w:r>
        <w:t xml:space="preserve">b) Das Finanzinstrument stellt eine Risikoposition gegenüber einem Portfolio von Vermögenswerten dar, bei dem die Risikoposition gegenüber den Anteilen oder Schuldtiteln des Emittenten 20 % der Vermögenswerte des Portfolios nicht übersteigt;</w:t>
      </w:r>
    </w:p>
    <w:p>
      <w:r>
        <w:t xml:space="preserve">c) Das Finanzinstrument ist ein Anteil oder eine Aktie an einem Organismus für gemeinsame Anlagen oder stellt eine Risikoposition gegenüber einem Portfolio von Vermögenswerten dar, und die Person, die Führungsaufgaben wahrnimmt, oder eine zu ihr in enger Beziehung stehende Person kennt und konnte die Anlagezusammensetzung oder die Risikoposition eines solchen Organismus für gemeinsame Anlagen bzw. eines solchen Portfolios von Vermögenswerten gegenüber den Anteilen oder Schuldtiteln des Emittenten nicht kennen, und darüber hinaus besteht für diese Person kein Grund zu der Annahme, dass die Anteile oder Schuldtitel des Emittenten die in Buchstabe a oder Buchstabe b genannten Schwellenwerte überschreiten. Sind Informationen über die Anlagezusammensetzung des Organismus für gemeinsame Anlagen oder die Risikoposition gegenüber dem Portfolio von Vermögenswerten verfügbar, unternimmt die Person, die Führungsaufgaben wahrnimmt, oder eine zu ihr in enger Beziehung stehende Person alle zumutbaren Anstrengungen, um diese Informationen zu erhalten.</w:t>
      </w:r>
    </w:p>
    <w:p>
      <w:r>
        <w:t xml:space="preserve">(2) Für diese Meldungen gelten für die in Absatz 1 genannten Personen die Vorschriften des Mitgliedstaats, in dem der Emittent oder Teilnehmer am Markt für Emissionszertifikate registriert ist. Die Meldungen sind innerhalb von drei Arbeitstagen nach dem Datum des Geschäfts bei der zuständigen Behörde dieses Mitgliedstaats vorzunehmen. Ist der Emittent nicht in einem Mitgliedstaat registriert, erfolgt diese Meldung bei der zuständigen Behörde des Herkunftsmitgliedstaats im Einklang mit Artikel 2 Absatz 1 Buchstabe i der Richtlinie 2004/109/EG, oder, wenn eine solche Behörde nicht besteht, der zuständigen Behörde des Handelsplatzes.</w:t>
      </w:r>
    </w:p>
    <w:p>
      <w:r>
        <w:t xml:space="preserve">(3) Der Emittent oder Teilnehmer am Markt für Emissionszertifikate greift auf Medien zurück, bei denen vernünftigerweise davon ausgegangen werden kann, dass sie die Informationen tatsächlich an die Öffentlichkeit in der gesamten Union weiterleiten, und gegebenenfalls ist das in Artikel 21 der Richtlinie 2004/109/EG amtlich bestellte System zu nutzen. Das nationale Recht kann abweichend davon auch bestimmen, dass eine zuständige Behörde die Informationen selbst veröffentlichen kann.</w:t>
      </w:r>
    </w:p>
    <w:p>
      <w:r>
        <w:t xml:space="preserve">(4) Dieser Artikel gilt für Emittenten die</w:t>
      </w:r>
    </w:p>
    <w:p>
      <w:r>
        <w:t xml:space="preserve">a) für ihre Finanzinstrumente eine Zulassung zum Handel an einem geregelten Markt beantragt oder genehmigt haben, bzw.</w:t>
      </w:r>
    </w:p>
    <w:p>
      <w:r>
        <w:t xml:space="preserve">b) im Falle von Instrumenten, die nur auf einem multilateralen oder organisierten Handelssystem gehandelt werden, für Emittenten, die eine Zulassung zum Handel auf einem multilateralen oder organisierten Handelssystem erhalten haben oder die für ihre Finanzinstrumente eine Zulassung zum Handel auf einem multilateralen Handelssystem beantragt haben.</w:t>
      </w:r>
    </w:p>
    <w:p>
      <w:r>
        <w:t xml:space="preserve">(5) Personen, die Führungsaufgaben wahrnehmen, setzen die zu ihnen in enger Beziehung stehenden Personen schriftlich von deren Verpflichtungen im Rahmen dieses Artikels in Kenntnis und bewahren eine Kopie dieses Dokuments auf.</w:t>
      </w:r>
    </w:p>
    <w:p>
      <w:r>
        <w:t xml:space="preserve">(6) Die Meldung von Geschäften nach Absatz 1 muss folgende Angaben enthalten:</w:t>
      </w:r>
    </w:p>
    <w:p>
      <w:r>
        <w:t xml:space="preserve">a) Name der Person;</w:t>
      </w:r>
    </w:p>
    <w:p>
      <w:r>
        <w:t xml:space="preserve">b) Grund der Meldung;</w:t>
      </w:r>
    </w:p>
    <w:p>
      <w:r>
        <w:t xml:space="preserve">c) Bezeichnung des betreffenden Emittenten oder Teilnehmers am Markt für Emissionszertifikate;</w:t>
      </w:r>
    </w:p>
    <w:p>
      <w:r>
        <w:t xml:space="preserve">d) Beschreibung und Kennung des Finanzinstruments;</w:t>
      </w:r>
    </w:p>
    <w:p>
      <w:r>
        <w:t xml:space="preserve">e) Art des Geschäfts bzw. der Geschäfte (d. h. Erwerb oder Veräußerung), einschließlich der Angabe, ob ein Zusammenhang mit der Teilnahme an Belegschaftsaktienprogrammen oder mit den konkreten Beispielen gemäß Absatz 7 besteht;</w:t>
      </w:r>
    </w:p>
    <w:p>
      <w:r>
        <w:t xml:space="preserve">f) Datum und Ort des Geschäfts bzw. der Geschäfte und</w:t>
      </w:r>
    </w:p>
    <w:p>
      <w:r>
        <w:t xml:space="preserve">g) Kurs und Volumen des Geschäfts bzw. der Geschäfte. Bei einer Verpfändung, deren Konditionen eine Wertänderung bedingen, sollten dieser Umstand und der Wert zum Zeitpunkt der Verpfändung offengelegt werden.</w:t>
      </w:r>
    </w:p>
    <w:p>
      <w:r>
        <w:t xml:space="preserve">(7) Zu den für die Zwecke von Absatz 1 zu meldenden Geschäften gehören auch:</w:t>
      </w:r>
    </w:p>
    <w:p>
      <w:r>
        <w:t xml:space="preserve">a) das Verpfänden oder Verleihen von Finanzinstrumenten durch oder im Auftrag einer der in Absatz 1 genannten Person, die Führungsaufgaben wahrnimmt, oder einer mit dieser enge verbundenen Person;</w:t>
      </w:r>
    </w:p>
    <w:p>
      <w:r>
        <w:t xml:space="preserve">b) von Personen, die beruflich Geschäfte vermitteln oder ausführen, oder einer anderen Person im Auftrag einer der in Absatz 1 genannten Personen, die Führungsaufgaben wahrnehmen oder mit zu solchen Personen enger verbunden ist, unternommene Geschäfte, auch wenn dabei ein Ermessen ausgeübt wird;</w:t>
      </w:r>
    </w:p>
    <w:p>
      <w:r>
        <w:t xml:space="preserve">c) Geschäfte im Sinne der Richtlinie 2009/138/EG des Europäischen Parlaments und des Rates ( 11 ), die im Rahmen einer Lebensversicherung getätigt werden, wenn</w:t>
      </w:r>
    </w:p>
    <w:p>
      <w:r>
        <w:t xml:space="preserve">i) der Versicherungsnehmer eine in Absatz 1 genannte Person ist, die Führungsaufgaben wahrnimmt, oder eine Person, die mit einer solchen Person eng verbunden ist,</w:t>
      </w:r>
    </w:p>
    <w:p>
      <w:r>
        <w:t xml:space="preserve">ii) der Versicherungsnehmer das Investitionsrisiko trägt und</w:t>
      </w:r>
    </w:p>
    <w:p>
      <w:r>
        <w:t xml:space="preserve">iii) der Versicherungsnehmer über die Befugnis oder das Ermessen verfügt, Investitionsentscheidungen in Bezug auf spezifische Instrumente im Rahmen dieser Lebensversicherung zu treffen oder Geschäfte in Bezug auf spezifische Instrumente für diese Lebensversicherung auszuführen. Für die Zwecke von Buchstabe a muss eine Verpfändung von Wertpapieren oder eine ähnliche Sicherung von Finanzinstrumenten im Zusammenhang mit der Hinterlegung der Finanzinstrumente in ein Depotkonto nicht gemeldet werden, sofern und solange eine derartige Verpfändung oder andere Sicherung nicht dazu dient, eine spezifische Kreditfazilität zu sichern. Für die Zwecke von Buchstabe b brauchen Geschäfte, die in Anteilen oder Schuldtiteln eines Emittenten bzw. Derivaten oder anderen damit verbundenen Finanzinstrumenten von Führungskräften eines Organismus für gemeinsame Anlagen ausgeführt wurden, bei denen die Person, die Führungsaufgaben wahrnimmt, oder eine zu ihr in enger Beziehung stehende Person investiert hat, nicht gemeldet zu werden, wenn die Führungskraft des Organismus für gemeinsame Anlagen bei ihren Transaktionen über vollen Ermessensspielraum verfügt, was ausschließt, dass die Führungskraft von Anlegern in diesem Organismus für gemeinsame Anlagen irgendwelche direkten oder indirekten Anweisungen oder Empfehlungen bezüglich der Zusammensetzung des Portfolios erhält. Sofern der Versicherungsnehmer eines Versicherungsvertrags gemäß diesem Absatz verpflichtet ist, Geschäfte zu melden, obliegt dem Versicherungsunternehmen keine Verpflichtung, eine Meldung vorzunehmen.</w:t>
      </w:r>
    </w:p>
    <w:p>
      <w:r>
        <w:t xml:space="preserve">(8)</w:t>
      </w:r>
    </w:p>
    <w:p>
      <w:r>
        <w:t xml:space="preserve">(9)</w:t>
      </w:r>
    </w:p>
    <w:p>
      <w:r>
        <w:t xml:space="preserve">(10)</w:t>
      </w:r>
    </w:p>
    <w:p>
      <w:r>
        <w:t xml:space="preserve">(11) Unbeschadet der Artikel 14 und 15 darf eine Person, die bei einem Emittenten Führungsaufgaben wahrnimmt, weder direkt noch indirekt Eigengeschäfte oder Geschäfte für Dritte im Zusammenhang mit den Anteilen oder Schuldtiteln des Emittenten oder mit Derivaten oder anderen mit diesen in Zusammenhang stehenden Finanzinstrumenten während eines geschlossenen Zeitraums von 30 Kalendertagen vor Ankündigung eines Zwischenberichts oder eines Jahresabschlussberichts tätigen, zu deren Veröffentlichung der Emittent verpflichtet ist:</w:t>
      </w:r>
    </w:p>
    <w:p>
      <w:r>
        <w:t xml:space="preserve">a) gemäß den Vorschriften des Handelsplatzes, auf dem die Anteile des Emittenten zum Handel zugelassen sind, oder</w:t>
      </w:r>
    </w:p>
    <w:p>
      <w:r>
        <w:t xml:space="preserve">b) gemäß nationalem Recht.</w:t>
      </w:r>
    </w:p>
    <w:p>
      <w:r>
        <w:t xml:space="preserve">(12) Unbeschadet der Artikel 14 und 15 darf ein Emittent einer Person, die Führungsaufgaben bei ihr wahrnimmt, erlauben, während eines geschlossenen Zeitraums gemäß Absatz 11 des vorliegenden Artikels auf eigene Rechnung oder auf Rechnung eines Dritten zu handeln oder Geschäfte zu tätigen, vorausgesetzt, dass</w:t>
      </w:r>
    </w:p>
    <w:p>
      <w:r>
        <w:t xml:space="preserve">a) diese Geschäfte im Einzelfall aufgrund außergewöhnlicher Umstände, wie beispielsweise schwerwiegender finanzieller Schwierigkeiten, die den unverzüglichen Verkauf von Aktien oder anderen Finanzinstrumenten als Aktien erforderlich machen, getätigt werden; oder</w:t>
      </w:r>
    </w:p>
    <w:p>
      <w:r>
        <w:t xml:space="preserve">b) diese Geschäfte durch diejenigen Merkmale des betreffenden Geschäfts für Handel bedingt sind, die im Rahmen von Belegschaftsaktien oder Arbeitnehmersparplänen sowie Arbeitnehmerplänen mit anderen Finanzinstrumenten als Aktien, von Pflichtaktien oder Bezugsberechtigungen auf Aktien oder von Pflichtfinanzinstrumenten oder Bezugsberechtigungen auf andere Finanzinstrumente als Aktien oder Geschäfte getätigt werden, wenn sich die nutzbringende Beteiligung an dem einschlägigen Wertpapier nicht ändert.</w:t>
      </w:r>
    </w:p>
    <w:p>
      <w:r>
        <w:t xml:space="preserve">(12a)</w:t>
      </w:r>
    </w:p>
    <w:p>
      <w:r>
        <w:t xml:space="preserve">(13)</w:t>
      </w:r>
    </w:p>
    <w:p>
      <w:r>
        <w:t xml:space="preserve">(14)</w:t>
      </w:r>
    </w:p>
    <w:p>
      <w:r>
        <w:t xml:space="preserve">(15) Die ESMA legt der Kommission bis zum 3. Juli 2015 diese Entwürfe technischer Durchführungsstandards vor. Der Kommission wird die Befugnis übertragen, die in Unterabsatz 1 genannten technischen Durchführungsstandards nach Artikel 15 der Verordnung (EU) Nr. 1095/2010 zu erlassen.</w:t>
      </w:r>
    </w:p>
    <w:p>
      <w:r>
        <w:rPr>
          <w:color w:val="555555"/>
          <w:sz w:val="17"/>
        </w:rPr>
        <w:t xml:space="preserve">Zitiervorschlag: Art 19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