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 MAR — Insiderlisten</w:t>
      </w:r>
    </w:p>
    <w:p>
      <w:r>
        <w:rPr>
          <w:color w:val="555555"/>
          <w:sz w:val="18"/>
        </w:rPr>
        <w:t xml:space="preserve">MAR</w:t>
      </w:r>
    </w:p>
    <w:p>
      <w:r>
        <w:rPr>
          <w:color w:val="555555"/>
          <w:sz w:val="18"/>
        </w:rPr>
        <w:t xml:space="preserve">Stand: 22.07.2026 (konsolidierte Textfassung, kein amtliches Inkrafttretensdatum)</w:t>
      </w:r>
    </w:p>
    <w:p>
      <w:r>
        <w:t xml:space="preserve">(1) Emittenten und alle in ihrem Auftrag oder für ihre Rechnung handelnden Personen müssen jeweils,</w:t>
      </w:r>
    </w:p>
    <w:p>
      <w:r>
        <w:t xml:space="preserve">a) eine Liste aller Personen aufstellen, die Zugang zu Insiderinformationen haben, wenn diese Personen für sie auf Grundlage eines Arbeitsvertrags oder anderweitig Aufgaben wahrnehmen, durch die diese Zugang zu Insiderinformationen haben, wie Berater, Buchhalter oder Ratingagenturen (im Folgenden „Insiderliste“),</w:t>
      </w:r>
    </w:p>
    <w:p>
      <w:r>
        <w:t xml:space="preserve">b) die Insiderliste gemäß Absatz 4 sofortaktualisieren und</w:t>
      </w:r>
    </w:p>
    <w:p>
      <w:r>
        <w:t xml:space="preserve">c) der zuständigen Behörde die Insiderliste auf deren Ersuchen unverzüglich zur Verfügung stellen.</w:t>
      </w:r>
    </w:p>
    <w:p>
      <w:r>
        <w:t xml:space="preserve">(2) Wird eine andere Person vom Emittenten ersucht, die Insiderliste des Emittenten zu erstellen und zu aktualisieren, so ist der Emittent auch weiterhin voll verantwortlich dafür, dass die Verpflichtungen des vorliegenden Artikels eingehalten werden. Der Emittent behält das Recht, die von der anderen Person erstellte Insiderliste einzusehen.</w:t>
      </w:r>
    </w:p>
    <w:p>
      <w:r>
        <w:t xml:space="preserve">(3) Die Insiderliste umfasst mindestens</w:t>
      </w:r>
    </w:p>
    <w:p>
      <w:r>
        <w:t xml:space="preserve">a) die Identität aller Personen, die Zugang zu Insiderinformationen haben,</w:t>
      </w:r>
    </w:p>
    <w:p>
      <w:r>
        <w:t xml:space="preserve">b) den Grund der Aufnahme in die Insiderliste,</w:t>
      </w:r>
    </w:p>
    <w:p>
      <w:r>
        <w:t xml:space="preserve">c) das Datum, an dem diese Person Zugang zu Insiderinformationen erlangt hat sowie die entsprechende Uhrzeit und</w:t>
      </w:r>
    </w:p>
    <w:p>
      <w:r>
        <w:t xml:space="preserve">d) das Datum der Erstellung der Insiderliste.</w:t>
      </w:r>
    </w:p>
    <w:p>
      <w:r>
        <w:t xml:space="preserve">(4) Emittenten und jede in ihrem Namen bzw. für ihre Rechnung handelnde Person aktualisieren jeweils ihre Insiderlisten unter Nennung des Datums der Aktualisierung unverzüglich, wenn</w:t>
      </w:r>
    </w:p>
    <w:p>
      <w:r>
        <w:t xml:space="preserve">a) sich der Grund für die Erfassung bereits erfasster Personen auf der Insiderliste ändert,</w:t>
      </w:r>
    </w:p>
    <w:p>
      <w:r>
        <w:t xml:space="preserve">b) eine neue Person Zugang zu Insiderinformationen erlangt hat und daher in die Insiderliste aufgenommen werden muss und</w:t>
      </w:r>
    </w:p>
    <w:p>
      <w:r>
        <w:t xml:space="preserve">c) eine Person keinen Zugang zu Insiderinformationen mehr hat. Bei jeder Aktualisierung sind Datum und Uhrzeit der Änderung anzugeben, durch die die Aktualisierung erforderlich wurde.</w:t>
      </w:r>
    </w:p>
    <w:p>
      <w:r>
        <w:t xml:space="preserve">(5)</w:t>
      </w:r>
    </w:p>
    <w:p>
      <w:r>
        <w:t xml:space="preserve">(6) Abweichend von Unterabsatz 1 des vorliegenden Absatzes kann ein Mitgliedstaat Emittenten, deren Finanzinstrumente zum Handel an einem KMU-Wachstumsmarkt zugelassen sind, bei Vorliegen spezifischer Bedenken hinsichtlich der Integrität des nationalen Marktes vorschreiben, in ihre Insiderlisten alle in Absatz 1 Buchstabe a genannten Personen aufzunehmen. Die in den Unterabsätzen 1 und 2 des vorliegenden Absatzes genannten Insiderlisten sind der zuständigen Behörde auf Verlangen so bald wie möglich vorzulegen.</w:t>
      </w:r>
    </w:p>
    <w:p>
      <w:r>
        <w:t xml:space="preserve">(7)</w:t>
      </w:r>
    </w:p>
    <w:p>
      <w:r>
        <w:t xml:space="preserve">(8) Die Absätze 1 bis 5 gelten auch für</w:t>
      </w:r>
    </w:p>
    <w:p>
      <w:r>
        <w:t xml:space="preserve">a) Teilnehmer am Markt für Emissionszertifikate, betreffend Insiderinformationen in Bezug auf Emissionszertifikate im Rahmen von physischen Aktivitäten dieses Teilnehmers am Markt für Emissionszertifikate;</w:t>
      </w:r>
    </w:p>
    <w:p>
      <w:r>
        <w:t xml:space="preserve">b) alle Versteigerungsplattformen, Versteigerer und die Auktionsaufsicht bezüglich Versteigerungen von Emissionszertifikaten und anderen darauf beruhenden Auktionsobjekten, die gemäß der Verordnung (EU) Nr. 1031/2010 abgehalten werden.</w:t>
      </w:r>
    </w:p>
    <w:p>
      <w:r>
        <w:t xml:space="preserve">(9) Die ESMA legt der Kommission diese Entwürfe technischer Durchführungsstandards bis zum 5. September 2025 vor. Der Kommission wird die Befugnis übertragen, die in Unterabsatz 1 genannten technischen Durchführungsstandards gemäß Artikel 15 der Verordnung (EU) Nr. 1095/2010 zu erlassen.</w:t>
      </w:r>
    </w:p>
    <w:p>
      <w:r>
        <w:rPr>
          <w:color w:val="555555"/>
          <w:sz w:val="17"/>
        </w:rPr>
        <w:t xml:space="preserve">Zitiervorschlag: Art 18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