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MAR — Veröffentlichung von Insiderinformationen</w:t>
      </w:r>
    </w:p>
    <w:p>
      <w:r>
        <w:rPr>
          <w:color w:val="555555"/>
          <w:sz w:val="18"/>
        </w:rPr>
        <w:t xml:space="preserve">MAR</w:t>
      </w:r>
    </w:p>
    <w:p>
      <w:r>
        <w:rPr>
          <w:color w:val="555555"/>
          <w:sz w:val="18"/>
        </w:rPr>
        <w:t xml:space="preserve">Stand: 22.07.2026 (konsolidierte Textfassung, kein amtliches Inkrafttretensdatum)</w:t>
      </w:r>
    </w:p>
    <w:p>
      <w:r>
        <w:t xml:space="preserve">(1) Ein Emittent gibt der Öffentlichkeit Insiderinformationen, die unmittelbar diesen Emittenten betreffen, unverzüglich bekannt. Dieses Erfordernis gilt nicht für Insiderinformationen im Zusammenhang mit Zwischenschritten in einem zeitlich gestreckten Vorgang im Sinne von Artikel 7 Absätze 2 und 3, wenn diese Schritte damit verbunden sind, dass ein bestimmter Umstand oder ein bestimmtes Ereignis herbeigeführt oder hervorgebracht wird. Bei einem zeitlich gestreckten Vorgang muss nur der finale Umstand oder das finale Ereignis unverzüglich nach seinem Eintreten offengelegt werden.</w:t>
      </w:r>
    </w:p>
    <w:p>
      <w:r>
        <w:t xml:space="preserve">Der Emittent stellt sicher, dass die Insiderinformationen in einer Art und Weise veröffentlicht werden, die der Öffentlichkeit einen schnellen Zugang und eine vollständige, korrekte und rechtzeitige Bewertung ermöglicht, und dass sie gegebenenfalls in dem amtlich bestellten System gemäß Artikel 21 der Richtlinie 2004/109/EG des Europäischen Parlaments und des Rates ( 9 ) veröffentlicht werden. Der Emittent darf die Veröffentlichung von Insiderinformationen nicht mit der Vermarktung seiner Tätigkeiten verbinden. Der Emittent veröffentlicht alle Insiderinformationen, die er der Öffentlichkeit mitteilen muss, auf seiner Website und zeigt sie dort während eines Zeitraums von mindestens fünf Jahren an.</w:t>
      </w:r>
    </w:p>
    <w:p>
      <w:r>
        <w:t xml:space="preserve">Dieser Artikel gilt für Emittenten, die für ihre Finanzinstrumente eine Zulassung zum Handel an einem geregelten Markt in einem Mitgliedstaat beantragt oder genehmigt haben, bzw. im Falle von Instrumenten, die nur auf einem multilateralen oder organisierten Handelssystem gehandelt werden, für Emittenten, die für ihre Finanzinstrumente eine Zulassung zum Handel auf einem multilateralen oder organisierten Handelssystem in einem Mitgliedstaat erhalten haben oder die für ihre Finanzinstrumente eine Zulassung zum Handel auf einem multilateralen Handelssystem in einem Mitgliedstaat beantragt haben.</w:t>
      </w:r>
    </w:p>
    <w:p>
      <w:r>
        <w:t xml:space="preserve">(1a) Ein Emittent gewährleistet die Geheimhaltung von Informationen, die die Kriterien für Insiderinformationen gemäß Artikel 7 erfüllen, bis zum Zeitpunkt der Offenlegung dieser Informationen nach Absatz 1 des vorliegenden Artikels.</w:t>
      </w:r>
    </w:p>
    <w:p>
      <w:r>
        <w:t xml:space="preserve">(2) Jeder Teilnehmer am Markt für Emissionszertifikate gibt Insiderinformationen in Bezug auf ihm gehörende Emissionszertifikate für seine Geschäftstätigkeit, darunter Luftverkehr gemäß Anhang I der Richtlinie 2003/87/EG und Anlagen im Sinne von Artikel 3 Buchstabe e jener Richtlinie, die der betreffende Marktteilnehmer, dessen Mutterunternehmen oder ein verbundenes Unternehmen besitzt oder kontrolliert und für dessen betriebliche Angelegenheiten der Marktteilnehmer, dessen Mutterunternehmen oder ein verbundenes Unternehmen vollständig oder teilweise verantwortlich ist, öffentlich, wirksam und rechtzeitig bekannt. In Bezug auf Anlagen umfasst diese Offenlegung die für deren Kapazität und Nutzung erheblichen Informationen, darunter die geplante oder ungeplante Nichtverfügbarkeit dieser Anlagen.</w:t>
      </w:r>
    </w:p>
    <w:p>
      <w:r>
        <w:t xml:space="preserve">Unterabsatz 1 gilt nicht für Teilnehmer am Markt für Emissionszertifikate, wenn die Emissionen der Anlagen oder Luftverkehrstätigkeiten in ihrem Besitz, unter ihrer Kontrolle oder ihrer Verantwortlichkeit im Vorjahr eine bestimmte Kohlendioxidäquivalent-Mindestschwelle nicht überschritten haben und, sofern dort eine Verbrennung erfolgt, deren thermische Nennleistung eine bestimmte Mindestschwelle nicht überschreitet.</w:t>
      </w:r>
    </w:p>
    <w:p>
      <w:r>
        <w:t xml:space="preserve">Der Kommission wird die Befugnis übertragen, gemäß Artikel 35 zur Anwendung der im Unterabsatz 2 dieses Absatzes vorgesehenen Ausnahme delegierte Rechtsakte zur Festlegung einer Kohlendioxidäquivalent-Mindestschwelle und einer Mindestschwelle für die thermische Nennleistung zu erlassen.</w:t>
      </w:r>
    </w:p>
    <w:p>
      <w:r>
        <w:t xml:space="preserve">(3) Der Kommission wird die Befugnis übertragen, delegierte Rechtsakte gemäß Artikel 35 zur Festlegung der zuständigen Behörde für die Mitteilungen gemäß den Absätzen 4 und 5 des vorliegenden Artikels zu erlassen.</w:t>
      </w:r>
    </w:p>
    <w:p>
      <w:r>
        <w:t xml:space="preserve">(4) Ein Emittent oder ein Teilnehmer am Markt für Emissionszertifikate, kann auf eigene Verantwortung die Offenlegung von Insiderinformationen für die Öffentlichkeit aufschieben, sofern sämtliche nachfolgenden Bedingungen erfüllt sind:</w:t>
      </w:r>
    </w:p>
    <w:p>
      <w:r>
        <w:t xml:space="preserve">a) die unverzügliche Offenlegung wäre geeignet, die berechtigten Interessen des Emittenten oder Teilnehmers am Markt für Emissionszertifikate zu beeinträchtigen;</w:t>
      </w:r>
    </w:p>
    <w:p>
      <w:r>
        <w:t xml:space="preserve">b) die Insiderinformationen, deren Offenlegung der Emittent oder der Teilnehmer am Markt für Emissionszertifikate aufzuschieben beabsichtigt, stehen nicht im Widerspruch zur letzten öffentlichen Bekanntmachung oder einer anderen Art der Kommunikation des Emittenten oder des Teilnehmers am Markt für Emissionszertifikate zu derselben Angelegenheit, auf die sich die Insiderinformationen beziehen;</w:t>
      </w:r>
    </w:p>
    <w:p>
      <w:r>
        <w:t xml:space="preserve">c) der Emittent oder Teilnehmer am Markt für Emissionszertifikate kann die Geheimhaltung dieser Informationen sicherstellen.</w:t>
      </w:r>
    </w:p>
    <w:p>
      <w:r>
        <w:t xml:space="preserve">Hat ein Emittent oder ein Teilnehmer am Markt für Emissionszertifikate die Offenlegung von Insiderinformationen nach diesem Absatz aufgeschoben, so informiert er die gemäß Absatz 3 festgelegte zuständige Behörde unmittelbar nach der Offenlegung der Informationen über den Aufschub der Offenlegung und erläutert schriftlich, inwieweit die in diesem Absatz festgelegten Bedingungen erfüllt waren. Alternativ können Mitgliedstaaten festlegen, dass die Aufzeichnung einer solchen Erläuterung nur auf Ersuchen der gemäß Absatz 3 festgelegten zuständigen Behörde übermittelt werden muss.</w:t>
      </w:r>
    </w:p>
    <w:p>
      <w:r>
        <w:t xml:space="preserve">Abweichend von Unterabsatz 2 des vorliegenden Absatzes legt ein Emittent, dessen Finanzinstrumente lediglich zum Handel an einem KMU-Wachstumsmarkt zugelassen sind, der gemäß Absatz 3 festgelegten zuständigen Behörde nur auf Verlangen eine schriftliche Erläuterung vor. Solange der Emittent in der Lage ist, den beschlossenen Aufschub zu begründen, darf nicht von ihm verlangt werden, dass er über diese Erläuterung Aufzeichnungen führt.</w:t>
      </w:r>
    </w:p>
    <w:p>
      <w:r>
        <w:t xml:space="preserve">(4a) Eine Nichtoffenlegung von Insiderinformationen bezogen auf Zwischenschritte in einem zeitlich gestreckten Vorgang durch einen Emittenten im Einklang mit Absatz 1 unterliegt nicht den in Absatz 4 festgelegten Anforderungen.</w:t>
      </w:r>
    </w:p>
    <w:p>
      <w:r>
        <w:t xml:space="preserve">(5) Ein Emittent, bei dem es sich um ein Kredit- oder Finanzinstitut handelt, oder ein Emittent, der ein Mutterunternehmen eines solchen Instituts ist, kann auf eigene Verantwortung die Offenlegung von Insiderinformationen, einschließlich Informationen im Zusammenhang mit einem zeitweiligen Liquiditätsproblem und insbesondere in Bezug auf den Bedarf an zeitweiliger Liquiditätshilfe seitens einer Zentralbank oder eines letztinstanzlichen Kreditgebers, aufschieben, sofern sämtliche nachfolgenden Bedingungen erfüllt sind:</w:t>
      </w:r>
    </w:p>
    <w:p>
      <w:r>
        <w:t xml:space="preserve">a) die Offenlegung der Insiderinformationen birgt das Risiko, dass die finanzielle Stabilität des Emittenten und des Finanzsystems untergraben wird;</w:t>
      </w:r>
    </w:p>
    <w:p>
      <w:r>
        <w:t xml:space="preserve">b) der Aufschub der Veröffentlichung liegt im öffentlichen Interesse;</w:t>
      </w:r>
    </w:p>
    <w:p>
      <w:r>
        <w:t xml:space="preserve">c) die Geheimhaltung der betreffenden Informationen kann gewährleistet werden, und</w:t>
      </w:r>
    </w:p>
    <w:p>
      <w:r>
        <w:t xml:space="preserve">d) die gemäß Absatz 3 festgelegte zuständige Behörde hat dem Aufschub auf der Grundlage zugestimmt, dass die Bedingungen gemäß Buchstaben a, b, und c erfüllt sind.</w:t>
      </w:r>
    </w:p>
    <w:p>
      <w:r>
        <w:t xml:space="preserve">(6) Für die Zwecke des Absatzes 5 Buchstaben a bis d setzt der Emittent die gemäß Absatz 3 festgelegte zuständige Behörde von seiner Absicht in Kenntnis, die Offenlegung der Insiderinformationen aufzuschieben, und legt Nachweise vor, dass die Voraussetzungen gemäß Absatz 5 Buchstaben a, b, und c vorliegen. Die gemäß Absatz 3 festgelegte zuständige Behörde hört gegebenenfalls die nationale Zentralbank oder, falls eingerichtet, die makroprudenzielle Behörde oder andernfalls die folgenden Stellen an:</w:t>
      </w:r>
    </w:p>
    <w:p>
      <w:r>
        <w:t xml:space="preserve">a) falls es sich bei dem Emittenten um ein Kreditinstitut oder eine Wertpapierfirma handelt, die gemäß Artikel 133 Absatz 1 der Richtlinie 2013/36/EU des Europäischen Parlaments und des Rates ( 10 ) benannte Behörde;</w:t>
      </w:r>
    </w:p>
    <w:p>
      <w:r>
        <w:t xml:space="preserve">b) in anderen als den in Buchstabe a genannten Fällen jede andere für die Aufsicht über den Emittenten zuständige nationale Behörde.</w:t>
      </w:r>
    </w:p>
    <w:p>
      <w:r>
        <w:t xml:space="preserve">Die gemäß Absatz 3 festgelegte zuständige Behörde stellt sicher, dass der Aufschub für die Offenlegung von Insiderinformationen nur für den im öffentlichen Interesse erforderlichen Zeitraum gewährt wird. Die gemäß Absatz 3 festgelegte zuständige Behörde bewertet mindestens wöchentlich, ob die Voraussetzungen gemäß Absatz 5 Buchstaben a, b und c noch vorliegen.</w:t>
      </w:r>
    </w:p>
    <w:p>
      <w:r>
        <w:t xml:space="preserve">Wenn die gemäß Absatz 3 festgelegte zuständige Behörde dem Aufschub der Veröffentlichung von Insiderinformationen nicht zustimmt, muss der Emittent die Insiderinformationen unverzüglich offenlegen.</w:t>
      </w:r>
    </w:p>
    <w:p>
      <w:r>
        <w:t xml:space="preserve">Dieser Absatz gilt für Fälle, in denen der Emittent nicht beschließt, die Offenlegung von Insiderinformationen gemäß Absatz 4 aufzuschieben.</w:t>
      </w:r>
    </w:p>
    <w:p>
      <w:r>
        <w:t xml:space="preserve">Verweise in diesem Absatz auf die gemäß Absatz 3 festgelegte zuständige Behörde in diesem Absatz lassen die Befugnis der zuständigen Behörde, ihre Aufgaben gemäß Artikel 23 Absatz 1 wahrzunehmen, unberührt.</w:t>
      </w:r>
    </w:p>
    <w:p>
      <w:r>
        <w:t xml:space="preserve">(7) Wenn die Offenlegung von Insiderinformationen gemäß Absatz 4 oder 5 aufgeschoben wurde oder wenn Insiderinformationen im Zusammenhang mit Zwischenschritten in einem zeitlich gestreckten Vorgang gemäß Absatz 1 nicht offengelegt wurden und die Vertraulichkeit dieser Insiderinformationen nicht mehr gewährleistet ist, muss der Emittent die Öffentlichkeit unverzüglich über diese Informationen informieren.</w:t>
      </w:r>
    </w:p>
    <w:p>
      <w:r>
        <w:t xml:space="preserve">Dieser Absatz schließt Sachverhalte ein, bei denen ein Gerücht ausdrücklich auf Insiderinformationen, die gemäß Absatz 4 oder 5 nicht offengelegt wurden, oder auf Insiderinformationen im Zusammenhang mit Zwischenschritten in einem zeitlich gestreckten Vorgang, die gemäß Absatz 1 nicht offengelegt wurden, Bezug nimmt, wenn dieses Gerücht ausreichend präzise ist, dass zu vermuten ist, dass die Vertraulichkeit dieser Information nicht mehr gewährleistet ist.</w:t>
      </w:r>
    </w:p>
    <w:p>
      <w:r>
        <w:t xml:space="preserve">(8) Legt ein Emittent oder ein Teilnehmer am Markt für Emissionszertifikate oder eine in ihrem Auftrag oder für ihre Rechnung handelnde Person im Zuge der normalen Ausübung ihrer Arbeit oder ihres Berufs oder der normalen Erfüllung ihrer Aufgaben gemäß Artikel 10 Absatz 1 Insiderinformationen gegenüber einem Dritten offen, so veröffentlicht er diese Informationen vollständig und wirksam, und zwar zeitgleich bei absichtlicher Offenlegung und unverzüglich im Fall einer nicht absichtlichen Offenlegung. Dieser Absatz gilt nicht, wenn die die Informationen erhaltende Person zur Verschwiegenheit verpflichtet ist, unabhängig davon, ob sich diese Verpflichtung aus Rechts- oder Verwaltungsvorschriften, einer Satzung oder einem Vertrag ergibt.</w:t>
      </w:r>
    </w:p>
    <w:p>
      <w:r>
        <w:t xml:space="preserve">(9) Insiderinformationen in Bezug auf Emittenten, deren Finanzinstrumente zum Handel an einem KMU-Wachstumsmarkt zugelassen sind, können auf der Website des Handelsplatzes anstatt der Website des Emittenten angezeigt werden, falls der Handelsplatz sich für die Bereitstellung dieser Möglichkeit für Emittenten auf jenem Markt entscheidet.</w:t>
      </w:r>
    </w:p>
    <w:p>
      <w:r>
        <w:t xml:space="preserve">(10) Um einheitliche Bedingungen für die Anwendung dieses Artikels sicherzustellen, arbeitet die ESMA Entwürfe technischer Durchführungsstandards zur Festlegung</w:t>
      </w:r>
    </w:p>
    <w:p>
      <w:r>
        <w:t xml:space="preserve">a) der technischen Mittel für die angemessene Bekanntgabe von Insiderinformationen gemäß den Absätzen 1, 2, 8 und 9 und</w:t>
      </w:r>
    </w:p>
    <w:p>
      <w:r>
        <w:t xml:space="preserve">b) der technischen Mittel für den Aufschub der Bekanntgabe von Insiderinformationen gemäß den Absätzen 4 und 5 aus.</w:t>
      </w:r>
    </w:p>
    <w:p>
      <w:r>
        <w:t xml:space="preserve">Die ESMA legt der Kommission diese Entwürfe technischer Durchführungsstandards bis zum 3. Juli 2016. vor.</w:t>
      </w:r>
    </w:p>
    <w:p>
      <w:r>
        <w:t xml:space="preserve">Der Kommission wird die Befugnis übertragen, die in Unterabsatz 1 genannten technischen Durchführungsstandards nach Artikel 15 der Verordnung (EU) Nr. 1095/2010 zu erlassen.</w:t>
      </w:r>
    </w:p>
    <w:p>
      <w:r>
        <w:t xml:space="preserve">(11) Die ESMA gibt Leitlinien für die Erstellung einer nicht erschöpfenden indikativen Liste der in Absatz 4 Unterabsatz 1 Buchstabe a genannten berechtigten Interessen des Emittenten heraus.</w:t>
      </w:r>
    </w:p>
    <w:p>
      <w:r>
        <w:t xml:space="preserve">(12) Der Kommission wird die Befugnis übertragen, einen delegierten Rechtsakt zu erlassen, in dem erforderlichenfalls eine nicht erschöpfende Liste folgender Punkte festgelegt und überprüft wird:</w:t>
      </w:r>
    </w:p>
    <w:p>
      <w:r>
        <w:t xml:space="preserve">a) finale Ereignisse oder finale Umstände in zeitlich gestreckten Vorgängen und für jedes/jeden Ereignis oder Umstand den Zeitpunkt, zu dem es/er als eingetreten gilt und gemäß Absatz 1 offenzulegen ist;</w:t>
      </w:r>
    </w:p>
    <w:p>
      <w:r>
        <w:t xml:space="preserve">b) Sachverhalte, in denen die Insiderinformationen, deren Offenlegung der Emittent oder der Teilnehmer am Markt für Emissionszertifikate aufzuschieben beabsichtigt, im Widerspruch zur letzten öffentlichen Bekanntmachung oder einer anderen Art der Kommunikation des Emittenten oder des Teilnehmers am Markt für Emissionszertifikate zu derselben Angelegenheit, auf die sich die Insiderinformationen beziehen, stehen, wie in Absatz 4 Unterabsatz 1 Buchstabe b beschrieben.</w:t>
      </w:r>
    </w:p>
    <w:p>
      <w:r>
        <w:rPr>
          <w:color w:val="555555"/>
          <w:sz w:val="17"/>
        </w:rPr>
        <w:t xml:space="preserve">Zitiervorschlag: Art 17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