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MAR — Verbot von Insidergeschäften und unrechtmäßiger Offenlegung von Insiderinformationen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Folgende Handlungen sind verboten:</w:t>
      </w:r>
    </w:p>
    <w:p>
      <w:r>
        <w:t xml:space="preserve">a) das Tätigen von Insidergeschäften und der Versuch hierzu,</w:t>
      </w:r>
    </w:p>
    <w:p>
      <w:r>
        <w:t xml:space="preserve">b) Dritten zu empfehlen, Insidergeschäfte zu tätigen, oder Dritte dazu zu verleiten, Insidergeschäfte zu tätigen, oder</w:t>
      </w:r>
    </w:p>
    <w:p>
      <w:r>
        <w:t xml:space="preserve">c) die unrechtmäßige Offenlegung von Insiderinformationen.</w:t>
      </w:r>
    </w:p>
    <w:p>
      <w:r>
        <w:rPr>
          <w:color w:val="555555"/>
          <w:sz w:val="17"/>
        </w:rPr>
        <w:t xml:space="preserve">Zitiervorschlag: Art 14 MAR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https://recht.nulegal.eu/gesetze/MAR/14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