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 MAR — Zulässige Marktpraxis</w:t>
      </w:r>
    </w:p>
    <w:p>
      <w:r>
        <w:rPr>
          <w:color w:val="555555"/>
          <w:sz w:val="18"/>
        </w:rPr>
        <w:t xml:space="preserve">MAR</w:t>
      </w:r>
    </w:p>
    <w:p>
      <w:r>
        <w:rPr>
          <w:color w:val="555555"/>
          <w:sz w:val="18"/>
        </w:rPr>
        <w:t xml:space="preserve">Stand: 22.07.2026 (konsolidierte Textfassung, kein amtliches Inkrafttretensdatum)</w:t>
      </w:r>
    </w:p>
    <w:p>
      <w:r>
        <w:t xml:space="preserve">(1)</w:t>
      </w:r>
    </w:p>
    <w:p>
      <w:r>
        <w:t xml:space="preserve">(2) Eine zuständige Behörden kann eine zulässige Marktpraxis festlegen, wobei folgende Kriterien berücksichtigt werden:</w:t>
      </w:r>
    </w:p>
    <w:p>
      <w:r>
        <w:t xml:space="preserve">a) ob die Marktpraxis einen erheblichen Grad an Markttransparenz gewährt;</w:t>
      </w:r>
    </w:p>
    <w:p>
      <w:r>
        <w:t xml:space="preserve">b) ob durch die Marktpraxis das Funktionieren der Marktkräfte und das richtige Zusammenspiel von Angebot und Nachfrage in hohem Grade gewährleistet werden;</w:t>
      </w:r>
    </w:p>
    <w:p>
      <w:r>
        <w:t xml:space="preserve">c) ob die Marktpraxis sich positiv auf Marktliquidität und -effizienz auswirkt;</w:t>
      </w:r>
    </w:p>
    <w:p>
      <w:r>
        <w:t xml:space="preserve">d) ob die Marktpraxis dem Handelsmechanismus des betreffenden Marktes Rechnung trägt und es den Marktteilnehmern erlaubt, angemessen und rechtzeitig auf die durch die Marktpraxis entstehende neue Marktsituation zu reagieren;</w:t>
      </w:r>
    </w:p>
    <w:p>
      <w:r>
        <w:t xml:space="preserve">e) ob die Marktpraxis keine Risiken für die Integrität direkt oder indirekt verbundener, geregelter oder nicht geregelter Märkte für das betreffende Finanzinstrument innerhalb der Union schafft;</w:t>
      </w:r>
    </w:p>
    <w:p>
      <w:r>
        <w:t xml:space="preserve">f) das Ergebnis der Ermittlungen der zuständigen Behörden bzw. anderer Behörden zu der entsprechenden Marktpraxis, insbesondere ob eine Verletzung der Marktmissbrauchsbestimmungen oder der geltenden Verhaltensregeln festgestellt wurde, unabhängig davon, ob auf dem betreffenden Markt oder auf anderen direkt oder indirekt verbundenen Märkten in der Union, und</w:t>
      </w:r>
    </w:p>
    <w:p>
      <w:r>
        <w:t xml:space="preserve">g) die Strukturmerkmale des betreffenden Marktes, u. a., ob es sich um einen geregelten Markt handelt, welche Finanzinstrumente gehandelt werden, welche Marktteilnehmer vertreten sind und welcher Anteil am Handel auf dem betreffenden Markt auf Privatanleger entfällt. Eine Marktpraxis, die von einer zuständigen Behörde auf einem bestimmten Markt als zulässige Marktpraxis festgelegt wurde, wird nicht als zulässig auf anderen Märkten betrachtet, wenn sie nicht von den für diese anderen Märkte zuständigen Behörden gemäß diesem Artikel anerkannt worden ist.</w:t>
      </w:r>
    </w:p>
    <w:p>
      <w:r>
        <w:t xml:space="preserve">(3)</w:t>
      </w:r>
    </w:p>
    <w:p>
      <w:r>
        <w:t xml:space="preserve">(4)</w:t>
      </w:r>
    </w:p>
    <w:p>
      <w:r>
        <w:t xml:space="preserve">(5)</w:t>
      </w:r>
    </w:p>
    <w:p>
      <w:r>
        <w:t xml:space="preserve">(6) Erzielen die betreffenden zuständigen Behörden keine Einigung, so kann die ESMA gemäß Artikel 19 Absatz 3 der Verordnung (EU) Nr. 1095/2010 einen Beschluss fassen.</w:t>
      </w:r>
    </w:p>
    <w:p>
      <w:r>
        <w:t xml:space="preserve">(7) Die ESMA legt der Kommission bis zum 3. Juli 2015 diese Entwürfe technischer Regulierungsstandards vor. Der Kommission wird die Befugnis übertragen, die in Unterabsatz 1 genannten technischen Regulierungsstandards nach Artikel 10 bis 14 der Verordnung (EU) Nr. 1095/2010 zu erlassen.</w:t>
      </w:r>
    </w:p>
    <w:p>
      <w:r>
        <w:t xml:space="preserve">(8)</w:t>
      </w:r>
    </w:p>
    <w:p>
      <w:r>
        <w:t xml:space="preserve">(9)</w:t>
      </w:r>
    </w:p>
    <w:p>
      <w:r>
        <w:t xml:space="preserve">(10)</w:t>
      </w:r>
    </w:p>
    <w:p>
      <w:r>
        <w:t xml:space="preserve">(11) Die in Unterabsatz 1 dieses Absatzes genannte zulässige Marktpraxis gilt in dem betreffenden Mitgliedstaat weiter, bis die zuständige Behörde auf der Grundlage der Stellungnahme der ESMA gemäß Absatz 4 einen Beschluss hinsichtlich ihrer Weiterführung gefasst hat.</w:t>
      </w:r>
    </w:p>
    <w:p>
      <w:r>
        <w:t xml:space="preserve">(12) Unbeschadet der gemäß den Absätzen 1 bis 11 des vorliegenden Artikels festgelegten zulässigen Marktpraxis darf ein Emittent von Finanzinstrumenten, die zum Handel an einem KMU-Wachstumsmarkt zugelassen sind, für seine Aktien einen Liquiditätsvertrag schließen, wenn alle folgenden Voraussetzungen erfüllt sind:</w:t>
      </w:r>
    </w:p>
    <w:p>
      <w:r>
        <w:t xml:space="preserve">a) Die Bedingungen des Liquiditätsvertrags entsprechen den in Absatz 2 des vorliegenden Artikels und den in der Delegierten Verordnung (EU) 2016/908 der Kommission ( 8 ) festgelegten Kriterien;</w:t>
      </w:r>
    </w:p>
    <w:p>
      <w:r>
        <w:t xml:space="preserve">b) der Liquiditätsvertrag wird gemäß dem in Absatz 13 des vorliegenden Artikels genannten Unionsmuster erstellt;</w:t>
      </w:r>
    </w:p>
    <w:p>
      <w:r>
        <w:t xml:space="preserve">c) der Liquiditätsgeber wurde von der zuständigen Behörde gemäß der Richtlinie 2014/65/EU ordnungsgemäß zugelassen und ist beim Marktbetreiber oder der Wertpapierfirma, die den KMU-Wachstumsmarkt betreibt, als Marktteilnehmer registriert;</w:t>
      </w:r>
    </w:p>
    <w:p>
      <w:r>
        <w:t xml:space="preserve">d) der Marktbetreiber oder die Wertpapierfirma, die den KMU-Wachstumsmarkt betreibt, bestätigt dem Emittenten gegenüber schriftlich, eine Kopie des Liquiditätsvertrags erhalten zu haben. Der in Unterabsatz 1 des vorliegenden Absatzes genannte Emittent muss jederzeit nachweisen können, dass die Bedingungen, unter denen der Vertrag abgeschlossen wurde, jederzeit erfüllt sind. Dieser Emittent und der Marktbetreiber oder und die Wertpapierfirma, die den KMU-Wachstumsmarkt betreibt, legen den jeweils zuständigen Behörden auf Verlangen eine Kopie des Liquiditätsvertrags vor.</w:t>
      </w:r>
    </w:p>
    <w:p>
      <w:r>
        <w:t xml:space="preserve">(13) Die ESMA übermittelt der Kommission diese Entwürfe technischer Regulierungsstandards bis zum 1. September 2020. Der Kommission wird die Befugnis übertragen, die in Unterabsatz 1 des vorliegenden Absatzes genannten technischen Regulierungsstandards gemäß den Artikeln 10 bis 14 der Verordnung (EU) Nr. 1095/2010 zu erlassen.</w:t>
      </w:r>
    </w:p>
    <w:p>
      <w:r>
        <w:rPr>
          <w:color w:val="555555"/>
          <w:sz w:val="17"/>
        </w:rPr>
        <w:t xml:space="preserve">Zitiervorschlag: Art 13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