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MAR — Marktmanipulation</w:t>
      </w:r>
    </w:p>
    <w:p>
      <w:r>
        <w:rPr>
          <w:color w:val="555555"/>
          <w:sz w:val="18"/>
        </w:rPr>
        <w:t xml:space="preserve">MAR</w:t>
      </w:r>
    </w:p>
    <w:p>
      <w:r>
        <w:rPr>
          <w:color w:val="555555"/>
          <w:sz w:val="18"/>
        </w:rPr>
        <w:t xml:space="preserve">Stand: 22.07.2026 (konsolidierte Textfassung, kein amtliches Inkrafttretensdatum)</w:t>
      </w:r>
    </w:p>
    <w:p>
      <w:r>
        <w:t xml:space="preserve">(1) Für die Zwecke dieser Verordnung umfasst der Begriff „Marktmanipulation“ folgende Handlungen:</w:t>
      </w:r>
    </w:p>
    <w:p>
      <w:r>
        <w:t xml:space="preserve">a) Abschluss eines Geschäfts, Erteilung eines Handelsauftrags sowie jede andere Handlung,</w:t>
      </w:r>
    </w:p>
    <w:p>
      <w:r>
        <w:t xml:space="preserve">i) der bzw. die falsche oder irreführende Signale hinsichtlich des Angebots, der Nachfrage oder des Preises eines Finanzinstruments, eines damit verbundenen Waren-Spot- Kontrakts oder eines auf Emissionszertifikaten beruhenden Auktionsobjekts gibt oder bei der dies wahrscheinlich ist, oder</w:t>
      </w:r>
    </w:p>
    <w:p>
      <w:r>
        <w:t xml:space="preserve">ii) durch das bzw. die ein anormales oder künstliches Kursniveau eines oder mehrerer Finanzinstrumente, eines damit verbundenen Waren-Spot-Kontrakts oder eines auf Emissionszertifikaten beruhenden Auktionsobjekts erzielt wird oder bei dem/der dies wahrscheinlich ist;</w:t>
      </w:r>
    </w:p>
    <w:p>
      <w:r>
        <w:t xml:space="preserve">es sei denn, die Person, die ein Geschäft abschließt, einen Handelsauftrag erteilt oder eine andere Handlung vornimmt, weist nach, dass das Geschäft, der Auftrag oder die Handlung legitime Gründe hat und im Einklang mit der zulässigen Marktpraxis gemäß Artikel 13 steht.</w:t>
      </w:r>
    </w:p>
    <w:p>
      <w:r>
        <w:t xml:space="preserve">b) Abschluss eines Geschäfts, Erteilung eines Handelsauftrags und jegliche sonstige Tätigkeit oder Handlung, die unter Vorspiegelung falscher Tatsachen oder unter Verwendung sonstiger Kunstgriffe oder Formen der Täuschung den Kurs eines oder mehrerer Finanzinstrumente, eines damit verbundenen Waren-Spot-Kontrakts oder eines auf Emissionszertifikaten beruhenden Auktionsobjekts beeinflusst oder hierzu geeignet ist;</w:t>
      </w:r>
    </w:p>
    <w:p>
      <w:r>
        <w:t xml:space="preserve">c) Verbreitung von Informationen über die Medien einschließlich des Internets oder auf anderem Wege, die falsche oder irreführende Signale hinsichtlich des Angebots oder des Kurses eines Finanzinstruments, eines damit verbundenen Waren-Spot-Kontrakts oder eines auf Emissionszertifikaten beruhenden Auktionsobjekts oder der Nachfrage danach geben oder bei denen dies wahrscheinlich ist oder ein anormales oder künstliches Kursniveau eines oder mehrerer Finanzinstrumente, eines damit verbundenen Waren-Spot-Kontrakts oder eines auf Emissionszertifikaten beruhenden Auktionsobjekts herbeiführen oder bei denen dies wahrscheinlich ist, einschließlich der Verbreitung von Gerüchten, wenn die Person, die diese Informationen verbreitet hat, wusste oder hätte wissen müssen, dass sie falsch oder irreführend waren;</w:t>
      </w:r>
    </w:p>
    <w:p>
      <w:r>
        <w:t xml:space="preserve">d) Übermittlung falscher oder irreführender Angaben oder Bereitstellung falscher oder irreführender Ausgangsdaten bezüglich eines Referenzwerts, wenn die Person, die die Informationen übermittelt oder die Ausgangsdaten bereitgestellt hat, wusste oder hätte wissen müssen, dass sie falsch oder irreführend waren, oder sonstige Handlungen, durch die die Berechnung eines Referenzwerts manipuliert wird.</w:t>
      </w:r>
    </w:p>
    <w:p>
      <w:r>
        <w:t xml:space="preserve">(2) Als Marktmanipulation gelten unter anderem die folgenden Handlungen:</w:t>
      </w:r>
    </w:p>
    <w:p>
      <w:r>
        <w:t xml:space="preserve">a) Sicherung einer marktbeherrschenden Stellung in Bezug auf das Angebot eines Finanzinstruments. damit verbundener Waren-Spot-Kontrakte oder eines auf Emissionszertifikaten beruhenden Auktionsobjekts oder die Nachfrage danach durch eine Person oder mehrere in Absprache handelnde Personen mit der tatsächlichen oder wahrscheinlichen Folge einer unmittelbaren oder mittelbaren Festsetzung des Kaufs- oder Verkaufspreises oder anderen unlauteren Handelsbedingungen führt oder hierzu geeignet ist;</w:t>
      </w:r>
    </w:p>
    <w:p>
      <w:r>
        <w:t xml:space="preserve">b) Kauf oder Verkauf von Finanzinstrumenten bei Handelsbeginn oder bei Handelsschluss an einem Handelsplatz mit der tatsächlichen oder wahrscheinlichen Folge, dass Anleger, die aufgrund der angezeigten Kurse, einschließlich der Eröffnungs- und Schlusskurse, tätig werden, irregeführt werden;</w:t>
      </w:r>
    </w:p>
    <w:p>
      <w:r>
        <w:t xml:space="preserve">c) die Erteilung von Kauf- oder Verkaufsaufträgen an einen Handelsplatz, einschließlich deren Stornierung oder Änderung, mittels aller zur Verfügung stehenden Handelsmethoden, auch in elektronischer Form, beispielsweise durch algorithmische und Hochfrequenzhandelsstrategien, die eine der in Absatz 1 Buchstabe a oder b genannten Auswirkungen hat, indem sie</w:t>
      </w:r>
    </w:p>
    <w:p>
      <w:r>
        <w:t xml:space="preserve">i) das Funktionieren des Handelssystems des Handelsplatzes tatsächlich oder wahrscheinlich stört oder verzögert,</w:t>
      </w:r>
    </w:p>
    <w:p>
      <w:r>
        <w:t xml:space="preserve">ii) Dritten die Ermittlung echter Kauf- oder Verkaufsaufträge im Handelssystem des Handelsplatzes tatsächlich oder wahrscheinlich erschwert, auch durch das Einstellen von Kauf- oder Verkaufsaufträgen, die zur Überfrachtung oder Beeinträchtigung des Orderbuchs führen, oder</w:t>
      </w:r>
    </w:p>
    <w:p>
      <w:r>
        <w:t xml:space="preserve">iii) tatsächlich oder wahrscheinlich ein falsches oder irreführendes Signal hinsichtlich des Angebots eines Finanzinstruments oder der Nachfrage danach oder seines Preises setzt, insbesondere durch das Einstellen von Kauf- oder Verkaufsaufträgen zur Auslösung oder Verstärkung eines Trends;</w:t>
      </w:r>
    </w:p>
    <w:p>
      <w:r>
        <w:t xml:space="preserve">d) Ausnutzung eines gelegentlichen oder regelmäßigen Zugangs zu den traditionellen oder elektronischen Medien durch Abgabe einer Stellungnahme zu einem Finanzinstrument, einem damit verbundenen Waren-Spot-Kontrakt oder einem auf Emissionszertifikaten beruhenden Auktionsobjekt (oder indirekt zu dessen Emittenten), wobei zuvor Positionen bei diesem Finanzinstrument, einem damit verbundenen Waren-Spot-Kontrakt oder einem auf Emissionszertifikaten beruhenden Auktionsobjekt eingegangen wurden und anschließend Nutzen aus den Auswirkungen der Stellungnahme auf den Kurs dieses Finanzinstruments, eines damit verbundenen Waren-Spot-Kontrakts oder eines auf Emissionszertifikaten beruhenden Auktionsobjekts gezogen wird, ohne dass der Öffentlichkeit gleichzeitig dieser Interessenkonflikt ordnungsgemäß und wirksam mitgeteilt wird;</w:t>
      </w:r>
    </w:p>
    <w:p>
      <w:r>
        <w:t xml:space="preserve">e) Kauf oder Verkauf von Emissionszertifikaten oder deren Derivaten auf dem Sekundärmarkt vor der Versteigerung gemäß der Verordnung (EU) Nr. 1031/2010 mit der Folge, dass der Auktionsclearingpreis für die Auktionsobjekte auf anormaler oder künstlicher Höhe festgesetzt wird oder dass Bieter, die auf den Versteigerungen bieten, irregeführt werden.</w:t>
      </w:r>
    </w:p>
    <w:p>
      <w:r>
        <w:t xml:space="preserve">(3) Für die Anwendung von Absatz 1 Buchstaben a und b und unbeschadet der in Absatz 2 aufgeführten Formen von Handlungen enthält Anhang I eine nicht erschöpfende Aufzählung von Indikatoren in Bezug auf die Vorspiegelung falscher Tatsachen oder sonstige Kunstgriffe oder Formen der Täuschung und eine nicht erschöpfende Aufzählung von Indikatoren in Bezug auf falsche oder irreführende Signale und die Sicherung des Herbeiführung bestimmter Kurse.</w:t>
      </w:r>
    </w:p>
    <w:p>
      <w:r>
        <w:t xml:space="preserve">(4) Handelt es sich bei der in diesem Artikel genannten Person um eine juristische Person, so gilt dieser Artikel nach Maßgabe des nationalen Rechts auch für die natürlichen Personen, die an dem Beschluss, Tätigkeiten für Rechnung der betreffenden juristischen Person auszuführen, beteiligt sind.</w:t>
      </w:r>
    </w:p>
    <w:p>
      <w:r>
        <w:t xml:space="preserve">(5) Der Kommission wird die Befugnis übertragen, gemäß Artikel 35 zur Präzisierung der in Anhang I festgelegten Indikatoren delegierte Rechtsakte zu erlassen, um deren Elemente zu klären und den technischen Entwicklungen auf den Finanzmärkten Rechnung zu tragen.</w:t>
      </w:r>
    </w:p>
    <w:p>
      <w:r>
        <w:rPr>
          <w:color w:val="555555"/>
          <w:sz w:val="17"/>
        </w:rPr>
        <w:t xml:space="preserve">Zitiervorschlag: Art 12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