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 MAR — Gegenstand</w:t>
      </w:r>
    </w:p>
    <w:p>
      <w:r>
        <w:rPr>
          <w:color w:val="555555"/>
          <w:sz w:val="18"/>
        </w:rPr>
        <w:t xml:space="preserve">MAR</w:t>
      </w:r>
    </w:p>
    <w:p>
      <w:r>
        <w:rPr>
          <w:color w:val="555555"/>
          <w:sz w:val="18"/>
        </w:rPr>
        <w:t xml:space="preserve">Stand: 22.07.2026 (konsolidierte Textfassung, kein amtliches Inkrafttretensdatum)</w:t>
      </w:r>
    </w:p>
    <w:p>
      <w:r>
        <w:t xml:space="preserve">Mit dieser Verordnung wird ein gemeinsamer Rechtsrahmen für Insidergeschäfte, die unrechtmäßige Offenlegung von Insiderinformationen und Marktmanipulation (Marktmissbrauch) sowie für Maßnahmen zur Verhinderung von Marktmissbrauch geschaffen, um die Integrität der Finanzmärkte in der Union sicherzustellen und den Anlegerschutz und das Vertrauen der Anleger in diese Märkte zu stärken.</w:t>
      </w:r>
    </w:p>
    <w:p>
      <w:r>
        <w:rPr>
          <w:color w:val="555555"/>
          <w:sz w:val="17"/>
        </w:rPr>
        <w:t xml:space="preserve">Zitiervorschlag: Art 1 MAR</w:t>
      </w:r>
    </w:p>
    <w:p>
      <w:r>
        <w:rPr>
          <w:color w:val="555555"/>
          <w:sz w:val="17"/>
        </w:rPr>
        <w:t xml:space="preserve">Quelle: EUR-Lex, abgerufen 21.07.2026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