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MAKV — Verfahren für die Zahlung aus der Liquiditätsreserve des Gesundheitsfonds</w:t>
      </w:r>
    </w:p>
    <w:p>
      <w:r>
        <w:rPr>
          <w:color w:val="555555"/>
          <w:sz w:val="18"/>
        </w:rPr>
        <w:t xml:space="preserve">Monoklonale-Antikörper-Verordnung</w:t>
      </w:r>
    </w:p>
    <w:p>
      <w:r>
        <w:rPr>
          <w:color w:val="555555"/>
          <w:sz w:val="18"/>
        </w:rPr>
        <w:t xml:space="preserve">Historische Fassung: Stand 25.06.2023 bis 01.01.2024. Dies ist nicht die aktuelle Fassung.</w:t>
      </w:r>
    </w:p>
    <w:p>
      <w:r>
        <w:t xml:space="preserve">(1) Jedes Rechenzentrum im Sinne von § 300 Absatz 2 Satz 1 des Fünften Buches Sozialgesetzbuch übermittelt quartalsweise, letztmalig bis zum 15. Oktober 2023, den sich für die Träger der Krankenhäuser, die das Rechenzentrum in Anspruch nehmen, ergebenden Gesamtbetrag der nach § 4 Absatz 3 Satz 3 übermittelten Abrechnungen an das Bundesamt für Soziale Sicherung. Sachliche oder rechnerische Fehler in dem übermittelten Gesamtbetrag sind durch die Rechenzentren in der nächsten Übermittlung zu berichtigen; sachliche oder rechnerische Fehler in dem letztmalig übermittelten Gesamtbetrag sind bis zum 15. November 2023 zu berichtigen. Das Bundesamt für Soziale Sicherung zahlt die nach Satz 1 übermittelten Beträge aus der Liquiditätsreserve des Gesundheitsfonds an das jeweilige Rechenzentrum. Die Rechenzentren leiten die sich aus der nach § 4 Absatz 3 Satz 3 übermittelten Abrechnung ergebenden Beträge an die Träger der Krankenhäuser weiter.</w:t>
      </w:r>
    </w:p>
    <w:p>
      <w:r>
        <w:t xml:space="preserve">(2) Das Bundesamt für Soziale Sicherung bestimmt das Nähere zur Übermittlung und Zahlung der Beträge nach Absatz 1 Satz 1 bis 3.</w:t>
      </w:r>
    </w:p>
    <w:p>
      <w:r>
        <w:t xml:space="preserve">(3) Das Bundesamt für Soziale Sicherung übermittelt dem Bundesministerium für Gesundheit quartalsweise eine Aufstellung der nach Absatz 1 Satz 3 ausgezahlten Beträge.</w:t>
      </w:r>
    </w:p>
    <w:p>
      <w:r>
        <w:rPr>
          <w:color w:val="555555"/>
          <w:sz w:val="17"/>
        </w:rPr>
        <w:t xml:space="preserve">Zitiervorschlag: § 5 MAKV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