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22 MADVDV — Erholungsurlaub</w:t>
      </w:r>
    </w:p>
    <w:p>
      <w:r>
        <w:rPr>
          <w:color w:val="555555"/>
          <w:sz w:val="18"/>
        </w:rPr>
        <w:t xml:space="preserve">Verordnung über den Vorbereitungsdienst für den mittleren Auswärtigen Dienst</w:t>
      </w:r>
    </w:p>
    <w:p>
      <w:r>
        <w:rPr>
          <w:color w:val="555555"/>
          <w:sz w:val="18"/>
        </w:rPr>
        <w:t xml:space="preserve">Stand: 13.04.2025 (konsolidierte Textfassung, kein amtliches Inkrafttretensdatum)</w:t>
      </w:r>
    </w:p>
    <w:p>
      <w:r>
        <w:t xml:space="preserve">Die Zeiten des Erholungsurlaubs werden während des Auslandspraktikums auf Antrag durch die jeweilige Auslandsvertretung gewährt. In allen anderen Ausbildungsabschnitten werden sie durch die Ausbildungsleiterin oder den Ausbildungsleiter bestimmt.</w:t>
      </w:r>
    </w:p>
    <w:p>
      <w:r>
        <w:rPr>
          <w:color w:val="555555"/>
          <w:sz w:val="17"/>
        </w:rPr>
        <w:t xml:space="preserve">Zitiervorschlag: § 22 MADVDV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https://recht.nulegal.eu/gesetze/MADVDV/22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