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MADVDV — Auslandspraktikum</w:t>
      </w:r>
    </w:p>
    <w:p>
      <w:r>
        <w:rPr>
          <w:color w:val="555555"/>
          <w:sz w:val="18"/>
        </w:rPr>
        <w:t xml:space="preserve">Verordnung über den Vorbereitungsdienst für den mittleren Auswärtigen Dienst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Das Auslandspraktikum wird an einer Auslandsvertretung durchgeführt.</w:t>
      </w:r>
    </w:p>
    <w:p>
      <w:r>
        <w:t xml:space="preserve">(2) Die Ausbildung umfasst schwerpunktmäßig die Einweisung in folgende Aufgabengebiete:</w:t>
      </w:r>
    </w:p>
    <w:p>
      <w:pPr>
        <w:ind w:left="420"/>
      </w:pPr>
      <w:r>
        <w:t xml:space="preserve">1. Verwaltungsabläufe an der Auslandsvertretung, insbesondere das Haushalts-, Kassen- und Rechnungswesen,</w:t>
      </w:r>
    </w:p>
    <w:p>
      <w:pPr>
        <w:ind w:left="420"/>
      </w:pPr>
      <w:r>
        <w:t xml:space="preserve">2. Rechts- und Konsularwesen, insbesondere die Bearbeitung von Pass- und Visaangelegenheiten, sowie</w:t>
      </w:r>
    </w:p>
    <w:p>
      <w:pPr>
        <w:ind w:left="420"/>
      </w:pPr>
      <w:r>
        <w:t xml:space="preserve">3. Informationstechnik und Anwenderbetreuung.</w:t>
      </w:r>
    </w:p>
    <w:p>
      <w:r>
        <w:t xml:space="preserve">(3) Während des Auslandspraktikums sollen die Anwärterinnen und Anwärter Gelegenheit erhalten, Unterricht in der Landessprache, in der englischen Sprache oder der Wahlpflichtsprache zu nehmen.</w:t>
      </w:r>
    </w:p>
    <w:p>
      <w:r>
        <w:rPr>
          <w:color w:val="555555"/>
          <w:sz w:val="17"/>
        </w:rPr>
        <w:t xml:space="preserve">Zitiervorschlag: § 18 MADVDV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https://recht.nulegal.eu/gesetze/MADVDV/18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