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MADVDV — Einführungslehrgang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Einführungslehrgang vermittelt den Anwärterinnen und Anwärtern die für den mittleren Auswärtigen Dienst erforderlichen Grundkenntnisse.</w:t>
      </w:r>
    </w:p>
    <w:p>
      <w:r>
        <w:t xml:space="preserve">(2) Der Einführungslehrgang schließt mit Beginn des Inlandspraktikums ab.</w:t>
      </w:r>
    </w:p>
    <w:p>
      <w:r>
        <w:rPr>
          <w:color w:val="555555"/>
          <w:sz w:val="17"/>
        </w:rPr>
        <w:t xml:space="preserve">Zitiervorschlag: § 16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