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MADG 2026 — Observation</w:t>
      </w:r>
    </w:p>
    <w:p>
      <w:r>
        <w:rPr>
          <w:color w:val="555555"/>
          <w:sz w:val="18"/>
        </w:rPr>
        <w:t xml:space="preserve">MAD-Gesetz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(1) Bei Observationen nach § 8 Absatz 1 Satz 1 Nummer 7 darf der Militärische Abschirmdienst Personen, Objekte oder Ereignisse beobachten, auch unter Einsatz observationsunterstützender technischer Mittel.</w:t>
      </w:r>
    </w:p>
    <w:p>
      <w:r>
        <w:t xml:space="preserve">(2) Die Observation einer Person durchgehend länger als 72 Stunden oder an mehr als sieben Tagen innerhalb von 30 Tagen ist nur unter den zusätzlichen Voraussetzungen mindestens des § 8 Absatz 2 zulässig.</w:t>
      </w:r>
    </w:p>
    <w:p>
      <w:r>
        <w:t xml:space="preserve">(3) Die Observation einer Person durchgehend länger als sieben Tage ist nur unter den zusätzlichen Voraussetzungen mindestens des § 8 Absatz 3 zulässig.</w:t>
      </w:r>
    </w:p>
    <w:p>
      <w:r>
        <w:rPr>
          <w:color w:val="555555"/>
          <w:sz w:val="17"/>
        </w:rPr>
        <w:t xml:space="preserve">Zitiervorschlag: § 9 MADG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https://recht.nulegal.eu/gesetze/MADG%202026/9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