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MADG 2026 — Einsatz nachrichtendienstlicher Mittel</w:t>
      </w:r>
    </w:p>
    <w:p>
      <w:r>
        <w:rPr>
          <w:color w:val="555555"/>
          <w:sz w:val="18"/>
        </w:rPr>
        <w:t xml:space="preserve">MAD-Gesetz</w:t>
      </w:r>
    </w:p>
    <w:p>
      <w:r>
        <w:rPr>
          <w:color w:val="555555"/>
          <w:sz w:val="18"/>
        </w:rPr>
        <w:t xml:space="preserve">Stand: 16.01.2026 (konsolidierte Textfassung, kein amtliches Inkrafttretensdatum)</w:t>
      </w:r>
    </w:p>
    <w:p>
      <w:r>
        <w:t xml:space="preserve">(1) Sofern sich aus diesem Unterabschnitt keine darüber hinausgehenden Anforderungen ergeben, darf der Militärische Abschirmdienst zur Aufgabenerfüllung nach § 2 Absatz 1 nachrichtendienstliche Mittel wie die folgenden einsetzen, wenn tatsächliche Anhaltspunkte vorliegen, die den Verdacht einer Bestrebung oder einer Tätigkeit begründen, und wenn der Einsatz im Einzelfall zur Aufklärung dieser Bestrebung oder Tätigkeit erforderlich ist:</w:t>
      </w:r>
    </w:p>
    <w:p>
      <w:pPr>
        <w:ind w:left="420"/>
      </w:pPr>
      <w:r>
        <w:t xml:space="preserve">1. verdeckte Nachforschungen und verdeckte Befragungen,</w:t>
      </w:r>
    </w:p>
    <w:p>
      <w:pPr>
        <w:ind w:left="420"/>
      </w:pPr>
      <w:r>
        <w:t xml:space="preserve">2. verdecktes Erstellen von Bildaufnahmen und Bildaufzeichnungen,</w:t>
      </w:r>
    </w:p>
    <w:p>
      <w:pPr>
        <w:ind w:left="420"/>
      </w:pPr>
      <w:r>
        <w:t xml:space="preserve">3. Einsatz von Informanten,</w:t>
      </w:r>
    </w:p>
    <w:p>
      <w:pPr>
        <w:ind w:left="420"/>
      </w:pPr>
      <w:r>
        <w:t xml:space="preserve">4. Einsatz von Gewährspersonen,</w:t>
      </w:r>
    </w:p>
    <w:p>
      <w:pPr>
        <w:ind w:left="420"/>
      </w:pPr>
      <w:r>
        <w:t xml:space="preserve">5. Beobachtung des Funkverkehrs im Sinne des § 10 Absatz 1 des Bundespolizeigesetzes,</w:t>
      </w:r>
    </w:p>
    <w:p>
      <w:pPr>
        <w:ind w:left="420"/>
      </w:pPr>
      <w:r>
        <w:t xml:space="preserve">6. Verwendung fingierter biografischer, beruflicher oder gewerblicher Angaben (Legenden) und Beschaffung, Erstellung und Verwendung von Tarnpapieren und Tarnkennzeichen,</w:t>
      </w:r>
    </w:p>
    <w:p>
      <w:pPr>
        <w:ind w:left="420"/>
      </w:pPr>
      <w:r>
        <w:t xml:space="preserve">7. Observation (§ 9),</w:t>
      </w:r>
    </w:p>
    <w:p>
      <w:pPr>
        <w:ind w:left="420"/>
      </w:pPr>
      <w:r>
        <w:t xml:space="preserve">8. Überwachung des gesprochenen Wortes (§ 10),</w:t>
      </w:r>
    </w:p>
    <w:p>
      <w:pPr>
        <w:ind w:left="420"/>
      </w:pPr>
      <w:r>
        <w:t xml:space="preserve">9. Einsatz technischer Mittel zur Wohnraumüberwachung (§ 11),</w:t>
      </w:r>
    </w:p>
    <w:p>
      <w:pPr>
        <w:ind w:left="420"/>
      </w:pPr>
      <w:r>
        <w:t xml:space="preserve">10. technische Ortung und Aufenthaltsbestimmung (§ 12),</w:t>
      </w:r>
    </w:p>
    <w:p>
      <w:pPr>
        <w:ind w:left="420"/>
      </w:pPr>
      <w:r>
        <w:t xml:space="preserve">11. Einsatz von Vertrauenspersonen (§ 13),</w:t>
      </w:r>
    </w:p>
    <w:p>
      <w:pPr>
        <w:ind w:left="420"/>
      </w:pPr>
      <w:r>
        <w:t xml:space="preserve">12. Einsatz von verdeckten Bediensteten (§ 14),</w:t>
      </w:r>
    </w:p>
    <w:p>
      <w:pPr>
        <w:ind w:left="420"/>
      </w:pPr>
      <w:r>
        <w:t xml:space="preserve">13. Einsatz virtueller Agenten bei der Aufklärung im Internet (§ 15),</w:t>
      </w:r>
    </w:p>
    <w:p>
      <w:pPr>
        <w:ind w:left="420"/>
      </w:pPr>
      <w:r>
        <w:t xml:space="preserve">14. Einsichtnahme in Systeme der Informations- und Kommunikationstechnik und Asservatenauswertung (§ 16),</w:t>
      </w:r>
    </w:p>
    <w:p>
      <w:pPr>
        <w:ind w:left="420"/>
      </w:pPr>
      <w:r>
        <w:t xml:space="preserve">15. Auslesen technischer Spuren informationstechnischer Angriffe fremder Mächte (§ 17).</w:t>
      </w:r>
    </w:p>
    <w:p>
      <w:r>
        <w:t xml:space="preserve">Weitere als die in Satz 1 Nummer 1 bis 15 genannten nachrichtendienstlichen Mittel hat der Militärische Abschirmdienst vor dem Einsatz in einer Dienstvorschrift zu benennen. Dabei dürfen in der Dienstvorschrift nur solche nachrichtendienstlichen Mittel benannt werden, die in ihrer belastenden Wirkung für die betroffenen Personen mit in Satz 1 Nummer 1 bis 15 genannten nachrichtendienstlichen Mitteln vergleichbar sind, für die nicht zusätzlich die §§ 9 bis 17 in Verbindung mit den Absätzen 2 bis 4 gelten.</w:t>
      </w:r>
    </w:p>
    <w:p>
      <w:r>
        <w:t xml:space="preserve">(2) Wird aufgrund der erheblichen Eingriffsintensität auf diesen Absatz verwiesen, muss auf Grundlage tatsächlicher Anhaltspunkte der Einsatz des nachrichtendienstlichen Mittels erforderlich sein zur Aufklärung von Personen,</w:t>
      </w:r>
    </w:p>
    <w:p>
      <w:pPr>
        <w:ind w:left="420"/>
      </w:pPr>
      <w:r>
        <w:t xml:space="preserve">1. deren Handeln auf die Ausübung von Gewalt gegen Personen oder Sachen von bedeutendem Wert gerichtet ist,</w:t>
      </w:r>
    </w:p>
    <w:p>
      <w:pPr>
        <w:ind w:left="420"/>
      </w:pPr>
      <w:r>
        <w:t xml:space="preserve">2. die mit ihrem Handeln in schwerwiegender Weise rassistische, volksverhetzende, antisemitische, menschenfeindliche oder bestimmte Bevölkerungsgruppen diskriminierende Ziele verfolgen,</w:t>
      </w:r>
    </w:p>
    <w:p>
      <w:pPr>
        <w:ind w:left="420"/>
      </w:pPr>
      <w:r>
        <w:t xml:space="preserve">3. die aufgrund ihrer dienstlichen oder beruflichen Tätigkeiten Fähigkeiten besitzen, die in erheblichem Maß über die individuellen soldatischen Grundfertigkeiten hinausgehen oder</w:t>
      </w:r>
    </w:p>
    <w:p>
      <w:pPr>
        <w:ind w:left="420"/>
      </w:pPr>
      <w:r>
        <w:t xml:space="preserve">4. die eigenständigen Zugang zu dienstlichen Waffen, dienstlicher Munition oder dienstlichem Sprengstoff haben.</w:t>
      </w:r>
    </w:p>
    <w:p>
      <w:r>
        <w:t xml:space="preserve">(3) Wird aufgrund der besonders erheblichen Eingriffsintensität auf diesen Absatz verwiesen, muss auf Grundlage tatsächlicher Anhaltspunkte der Einsatz des nachrichtendienstlichen Mittels erforderlich sein zur Aufklärung von Personen,</w:t>
      </w:r>
    </w:p>
    <w:p>
      <w:pPr>
        <w:ind w:left="420"/>
      </w:pPr>
      <w:r>
        <w:t xml:space="preserve">1. die Tätigkeiten ausüben oder</w:t>
      </w:r>
    </w:p>
    <w:p>
      <w:pPr>
        <w:ind w:left="420"/>
      </w:pPr>
      <w:r>
        <w:t xml:space="preserve">2. die zur Zielverfolgung Straftaten vorbereiten oder begehen, die im Höchstmaß mit Freiheitsstrafe von mindestens fünf Jahren bedroht sind.</w:t>
      </w:r>
    </w:p>
    <w:p>
      <w:r>
        <w:t xml:space="preserve">(4) Wird aufgrund der äußerst erheblichen Eingriffsintensität auf diesen Absatz verwiesen, muss der Einsatz des nachrichtendienstlichen Mittels im Einzelfall zur Abwehr einer dringenden Gefahr erforderlich sein:</w:t>
      </w:r>
    </w:p>
    <w:p>
      <w:pPr>
        <w:ind w:left="420"/>
      </w:pPr>
      <w:r>
        <w:t xml:space="preserve">1. für Bestand und Sicherheit des Staates,</w:t>
      </w:r>
    </w:p>
    <w:p>
      <w:pPr>
        <w:ind w:left="420"/>
      </w:pPr>
      <w:r>
        <w:t xml:space="preserve">2. für Leib, Leben oder Freiheit einer Person oder</w:t>
      </w:r>
    </w:p>
    <w:p>
      <w:pPr>
        <w:ind w:left="420"/>
      </w:pPr>
      <w:r>
        <w:t xml:space="preserve">3. für Sachen von bedeutendem Wert, deren Erhaltung im besonderen öffentlichen Interesse geboten ist.</w:t>
      </w:r>
    </w:p>
    <w:p>
      <w:r>
        <w:t xml:space="preserve">Geeignete polizeiliche Hilfe darf zudem für das bedrohte Rechtsgut nicht rechtzeitig erlangt werden können.</w:t>
      </w:r>
    </w:p>
    <w:p>
      <w:r>
        <w:t xml:space="preserve">(5) Der Militärische Abschirmdienst darf nachrichtendienstliche Mittel auch zur Gewinnung von Erkenntnissen über die zur Aufklärung von Bestrebungen oder Tätigkeiten erforderlichen menschlichen Quellen einsetzen.</w:t>
      </w:r>
    </w:p>
    <w:p>
      <w:r>
        <w:t xml:space="preserve">(6) Nachrichtendienstliche Mittel dürfen auch eingesetzt werden, wenn andere Personen unvermeidbar mit betroffen sind.</w:t>
      </w:r>
    </w:p>
    <w:p>
      <w:r>
        <w:t xml:space="preserve">(7) Die Dienstvorschrift nach Absatz 1 Satz 2 darf erst erlassen werden, wenn zuvor der Unabhängige Kontrollrat nach § 41 Absatz 1 des BND-Gesetzes bestätigt hat, dass die Dienstvorschrift den Vorgaben des Absatzes 1 Satz 3 entspricht. Satz 1 gilt für die Änderung der Dienstvorschrift entsprechend.</w:t>
      </w:r>
    </w:p>
    <w:p>
      <w:r>
        <w:rPr>
          <w:color w:val="555555"/>
          <w:sz w:val="17"/>
        </w:rPr>
        <w:t xml:space="preserve">Zitiervorschlag: § 8 MADG 2026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https://recht.nulegal.eu/gesetze/MADG%202026/8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