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MADG 2026 — Besondere Befugnisse</w:t>
      </w:r>
    </w:p>
    <w:p>
      <w:r>
        <w:rPr>
          <w:color w:val="555555"/>
          <w:sz w:val="18"/>
        </w:rPr>
        <w:t xml:space="preserve">MAD-Gesetz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Die besonderen Befugnisse des Militärischen Abschirmdienstes untergliedern sich in</w:t>
      </w:r>
    </w:p>
    <w:p>
      <w:pPr>
        <w:ind w:left="420"/>
      </w:pPr>
      <w:r>
        <w:t xml:space="preserve">1. nachrichtendienstliche Mittel und</w:t>
      </w:r>
    </w:p>
    <w:p>
      <w:pPr>
        <w:ind w:left="420"/>
      </w:pPr>
      <w:r>
        <w:t xml:space="preserve">2. besondere Auskunftsverlangen.</w:t>
      </w:r>
    </w:p>
    <w:p>
      <w:r>
        <w:rPr>
          <w:color w:val="555555"/>
          <w:sz w:val="17"/>
        </w:rPr>
        <w:t xml:space="preserve">Zitiervorschlag: § 6 MADG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https://recht.nulegal.eu/gesetze/MADG%202026/6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