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MADG 2026 — Einschränkung von Grundrechten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Die Grundrechte auf körperliche Unversehrtheit (Artikel 2 Absatz 2 Satz 1 des Grundgesetzes), der Freiheit der Person (Artikel 2 Absatz 2 Satz 2 des Grundgesetzes), der Versammlungsfreiheit (Artikel 8 Absatz 2 des Grundgesetzes), des Brief-, Post- und Fernmeldegeheimnisses (Artikel 10 Absatz 1 des Grundgesetzes) und der Unverletzlichkeit der Wohnung (Artikel 13 Absatz 1 des Grundgesetzes) werden nach Maßgabe dieses Gesetzes eingeschränkt.</w:t>
      </w:r>
    </w:p>
    <w:p>
      <w:r>
        <w:rPr>
          <w:color w:val="555555"/>
          <w:sz w:val="17"/>
        </w:rPr>
        <w:t xml:space="preserve">Zitiervorschlag: § 56 MADG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https://recht.nulegal.eu/gesetze/MADG%202026/56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