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MADG 2026 — Strafvorschriften</w:t>
      </w:r>
    </w:p>
    <w:p>
      <w:r>
        <w:rPr>
          <w:color w:val="555555"/>
          <w:sz w:val="18"/>
        </w:rPr>
        <w:t xml:space="preserve">MAD-Gesetz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Mit Freiheitsstrafe bis zu zwei Jahren oder mit Geldstrafe wird bestraft, wer entgegen § 19 Absatz 5 Satz 2, auch in Verbindung mit § 20 Absatz 3 oder § 21 Absatz 3, eine Mitteilung macht.</w:t>
      </w:r>
    </w:p>
    <w:p>
      <w:r>
        <w:rPr>
          <w:color w:val="555555"/>
          <w:sz w:val="17"/>
        </w:rPr>
        <w:t xml:space="preserve">Zitiervorschlag: § 54 MADG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https://recht.nulegal.eu/gesetze/MADG%202026/54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