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MADG 2026 — Verfassungsschutz durch Aufklärung der Öffentlichkeit</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informiert die Öffentlichkeit jährlich zu aktuellen Entwicklungen, insbesondere über Bestrebungen und Tätigkeiten nach § 2 Absatz 1 Satz 1, soweit hinreichend gewichtige tatsächliche Anhaltspunkte hierfür vorliegen. In dem Bericht ist der Zuschuss des Bundeshaushalts an den Militärischen Abschirmdienst sowie die Gesamtzahl der Bediensteten anzugeben.</w:t>
      </w:r>
    </w:p>
    <w:p>
      <w:r>
        <w:t xml:space="preserve">(2) Bei der Information nach Absatz 1 dürfen auch personenbezogene Daten bekanntgegeben werden, wenn die Bekanntgabe für das Verständnis des Zusammenhangs oder der Darstellung von Organisationen oder unorganisierten Gruppierungen erforderlich ist und die Interessen der Allgemeinheit das schutzwürdige Interesse der betroffenen Personen überwiegen.</w:t>
      </w:r>
    </w:p>
    <w:p>
      <w:r>
        <w:rPr>
          <w:color w:val="555555"/>
          <w:sz w:val="17"/>
        </w:rPr>
        <w:t xml:space="preserve">Zitiervorschlag: § 53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