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MADG 2026 — Vorprüfung</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kann tatsächliche Anhaltspunkte darauf prüfen, ob sie den Verdacht einer Bestrebung oder einer Tätigkeit begründen (Vorprüfung).</w:t>
      </w:r>
    </w:p>
    <w:p>
      <w:r>
        <w:t xml:space="preserve">(2) Die Dauer der Vorprüfung soll sechs Monate nicht überschreiten. Eine längere Vorprüfung muss von der Leitung des Militärischen Abschirmdienstes gebilligt werden.</w:t>
      </w:r>
    </w:p>
    <w:p>
      <w:r>
        <w:t xml:space="preserve">(3) Ergibt die Vorprüfung, dass keine tatsächlichen Anhaltspunkte für Bestrebungen oder Tätigkeiten vorliegen, ist die Vorprüfung abzuschließen; personenbezogene Daten sind unverzüglich nach Abschluss der Vorprüfung zu löschen. Die Tatsache der Erhebung und Löschung ist zu protokollieren. Die Protokollierung ist nach Ablauf von fünf Jahren nach Abschluss der Vorprüfung zu löschen.</w:t>
      </w:r>
    </w:p>
    <w:p>
      <w:r>
        <w:rPr>
          <w:color w:val="555555"/>
          <w:sz w:val="17"/>
        </w:rPr>
        <w:t xml:space="preserve">Zitiervorschlag: § 5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