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MADG 2026 — Berichtigung, Löschung und Einschränkung der Verarbeitung von personenbezogenen Daten</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hat personenbezogene Daten zu berichtigen, wenn sie unrichtig sind. Er hat sie zu ergänzen, wenn sie unvollständig sind und dadurch schutzwürdige Interessen der betroffenen Person beeinträchtigt sein können.</w:t>
      </w:r>
    </w:p>
    <w:p>
      <w:r>
        <w:t xml:space="preserve">(2) Der Militärische Abschirmdienst hat personenbezogene Daten zu löschen, wenn ihre Verwendung unzulässig ist oder ihre Kenntnis für die Aufgabenerfüllung nicht mehr erforderlich ist. Die Löschung unterbleibt, wenn Grund zu der Annahme besteht, dass durch sie schutzwürdige Interessen der betroffenen Person beeinträchtigt würden; insoweit sind die betreffenden personenbezogenen Daten nach Maßgabe von Absatz 3 in ihrer Verarbeitung einzuschränken.</w:t>
      </w:r>
    </w:p>
    <w:p>
      <w:r>
        <w:t xml:space="preserve">(3) In ihrer Verarbeitung eingeschränkte personenbezogene Daten sind mit einem Vermerk über die Einschränkung der Verarbeitung zu versehen. Im Fall einer automatisierten Verarbeitung ist die Einschränkung der Verarbeitung durch zusätzliche technische Maßnahmen zu gewährleisten. In ihrer Verarbeitung eingeschränkte personenbezogene Daten darf der Militärische Abschirmdienst nur in behördlichen und gerichtlichen Verfahren, mit denen eine Person ein schutzwürdiges Interesse nach Absatz 2 verfolgt, oder mit Einwilligung der betroffenen Person verarbeiten.</w:t>
      </w:r>
    </w:p>
    <w:p>
      <w:r>
        <w:t xml:space="preserve">(4) Der Militärische Abschirmdienst prüft spätestens nach jeweils fünf Jahren, ob personenbezogene Daten zu berichtigen oder zu ergänzen, zu löschen oder nach Absatz 3 in ihrer Verarbeitung einzuschränken sind.</w:t>
      </w:r>
    </w:p>
    <w:p>
      <w:r>
        <w:t xml:space="preserve">(5) In Dateien gespeicherte personenbezogene Daten über Bestrebungen sind spätestens zehn Jahre nach der letzten gespeicherten relevanten Information zu löschen, es sei denn, zwingende Gründe des Gemeinwohls gebieten die weitere Speicherung; die Ausnahmeentscheidung ist zu begründen und zu dokumentieren. Vor der Löschung sind die Daten dem Bundesarchiv nach § 5 des Bundesarchivgesetzes zur Übernahme anzubieten. Für in Akten vorgehaltene personenbezogene Daten gilt Satz 1 mit der Maßgabe entsprechend, dass die Akte zu vernichten ist, sofern nicht die Regelungen des Bundesarchivgesetzes entgegenstehen.</w:t>
      </w:r>
    </w:p>
    <w:p>
      <w:r>
        <w:rPr>
          <w:color w:val="555555"/>
          <w:sz w:val="17"/>
        </w:rPr>
        <w:t xml:space="preserve">Zitiervorschlag: § 48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