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MADG 2026 — Weiterverarbeitung personenbezogener Daten</w:t>
      </w:r>
    </w:p>
    <w:p>
      <w:r>
        <w:rPr>
          <w:color w:val="555555"/>
          <w:sz w:val="18"/>
        </w:rPr>
        <w:t xml:space="preserve">MAD-Gesetz</w:t>
      </w:r>
    </w:p>
    <w:p>
      <w:r>
        <w:rPr>
          <w:color w:val="555555"/>
          <w:sz w:val="18"/>
        </w:rPr>
        <w:t xml:space="preserve">Stand: 16.01.2026 (konsolidierte Textfassung, kein amtliches Inkrafttretensdatum)</w:t>
      </w:r>
    </w:p>
    <w:p>
      <w:r>
        <w:t xml:space="preserve">(1) Der Militärische Abschirmdienst darf zur Erfüllung seiner Aufgaben personenbezogene Daten weiterverarbeiten. Eine Weiterverarbeitung ist auch zulässig, wenn die betroffene Person eingewilligt hat.</w:t>
      </w:r>
    </w:p>
    <w:p>
      <w:r>
        <w:t xml:space="preserve">(2) Sind mit personenbezogenen Daten, die nach Absatz 1 weiterverarbeitet werden dürfen, weitere personenbezogene Daten von Unbeteiligten oder Dritten dergestalt verbunden, dass sie nicht oder nur mit unverhältnismäßigem Aufwand getrennt werden können, dürfen sie gemeinsam mit den personenbezogenen Daten nach Absatz 1 gespeichert werden; sie sind nach Maßgabe von § 48 Absatz 3 in ihrer Verarbeitung einzuschränken.</w:t>
      </w:r>
    </w:p>
    <w:p>
      <w:r>
        <w:rPr>
          <w:color w:val="555555"/>
          <w:sz w:val="17"/>
        </w:rPr>
        <w:t xml:space="preserve">Zitiervorschlag: § 47 MADG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https://recht.nulegal.eu/gesetze/MADG%202026/47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