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MADG 2026 — Parlamentarische Kontrolle</w:t>
      </w:r>
    </w:p>
    <w:p>
      <w:r>
        <w:rPr>
          <w:color w:val="555555"/>
          <w:sz w:val="18"/>
        </w:rPr>
        <w:t xml:space="preserve">MAD-Gesetz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Die Bundesregierung trägt dem Parlamentarischen Kontrollgremium mindestens einmal im Jahr einen Lagebericht zum Einsatz von Vertrauenspersonen durch die Nachrichtendienste vor.</w:t>
      </w:r>
    </w:p>
    <w:p>
      <w:r>
        <w:t xml:space="preserve">(2) Das Bundesministerium der Verteidigung unterrichtet das Parlamentarische Kontrollgremium über den Erlass und die Änderung der Dienstvorschrift nach § 8 Absatz 1 Satz 2.</w:t>
      </w:r>
    </w:p>
    <w:p>
      <w:r>
        <w:t xml:space="preserve">(3) Das Bundesministerium der Verteidigung unterrichtet im Abstand von höchstens sechs Monaten das Parlamentarische Kontrollgremium über</w:t>
      </w:r>
    </w:p>
    <w:p>
      <w:pPr>
        <w:ind w:left="420"/>
      </w:pPr>
      <w:r>
        <w:t xml:space="preserve">1. Ausschreibungen nach § 4 Absatz 6,</w:t>
      </w:r>
    </w:p>
    <w:p>
      <w:pPr>
        <w:ind w:left="420"/>
      </w:pPr>
      <w:r>
        <w:t xml:space="preserve">2. Anordnungen zu besonderen Auskunftsverlangen zu sonstigen Daten nach § 20 Absatz 1 und</w:t>
      </w:r>
    </w:p>
    <w:p>
      <w:pPr>
        <w:ind w:left="420"/>
      </w:pPr>
      <w:r>
        <w:t xml:space="preserve">3. Anordnungen zu besonderen Auskunftsverlangen bei informationstechnischen Angriffen fremder Mächte nach § 21 Absatz 1.</w:t>
      </w:r>
    </w:p>
    <w:p>
      <w:r>
        <w:t xml:space="preserve">Dabei ist insbesondere ein Überblick über Anlass, Umfang, Dauer, Ergebnis und Kosten der im Berichtszeitraum durchgeführten Auskunftsverlangen zu geben.</w:t>
      </w:r>
    </w:p>
    <w:p>
      <w:r>
        <w:rPr>
          <w:color w:val="555555"/>
          <w:sz w:val="17"/>
        </w:rPr>
        <w:t xml:space="preserve">Zitiervorschlag: § 44 MADG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https://recht.nulegal.eu/gesetze/MADG%202026/44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