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43 MADG 2026 — Exekutivkontrolle</w:t>
      </w:r>
    </w:p>
    <w:p>
      <w:r>
        <w:rPr>
          <w:color w:val="555555"/>
          <w:sz w:val="18"/>
        </w:rPr>
        <w:t xml:space="preserve">MAD-Gesetz</w:t>
      </w:r>
    </w:p>
    <w:p>
      <w:r>
        <w:rPr>
          <w:color w:val="555555"/>
          <w:sz w:val="18"/>
        </w:rPr>
        <w:t xml:space="preserve">Stand: 16.01.2026 (konsolidierte Textfassung, kein amtliches Inkrafttretensdatum)</w:t>
      </w:r>
    </w:p>
    <w:p>
      <w:r>
        <w:t xml:space="preserve">(1) Die Tätigkeit des Militärischen Abschirmdienstes unterliegt der Dienst-, Fach- und Rechtsaufsicht des Bundesministeriums der Verteidigung. Es kann gegenüber dem Militärischen Abschirmdienst Weisungen erteilen.</w:t>
      </w:r>
    </w:p>
    <w:p>
      <w:r>
        <w:t xml:space="preserve">(2) Dienstvorschriften des Militärischen Abschirmdienstes bedürfen der Zustimmung des Bundesministeriums der Verteidigung.</w:t>
      </w:r>
    </w:p>
    <w:p>
      <w:r>
        <w:rPr>
          <w:color w:val="555555"/>
          <w:sz w:val="17"/>
        </w:rPr>
        <w:t xml:space="preserve">Zitiervorschlag: § 43 MADG 2026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https://recht.nulegal.eu/gesetze/MADG%202026/43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