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MADG 2026 — Übermittlungen von Informationen an den Militärischen Abschirmdienst</w:t>
      </w:r>
    </w:p>
    <w:p>
      <w:r>
        <w:rPr>
          <w:color w:val="555555"/>
          <w:sz w:val="18"/>
        </w:rPr>
        <w:t xml:space="preserve">MAD-Gesetz</w:t>
      </w:r>
    </w:p>
    <w:p>
      <w:r>
        <w:rPr>
          <w:color w:val="555555"/>
          <w:sz w:val="18"/>
        </w:rPr>
        <w:t xml:space="preserve">Stand: 16.01.2026 (konsolidierte Textfassung, kein amtliches Inkrafttretensdatum)</w:t>
      </w:r>
    </w:p>
    <w:p>
      <w:r>
        <w:t xml:space="preserve">(1) Die Behörden des Bundes und der bundesunmittelbaren juristischen Personen des öffentlichen Rechts unterrichten von sich aus den Militärischen Abschirmdienst über die ihnen bekanntgewordenen Tatsachen, die Bestrebungen oder Tätigkeiten erkennen lassen, wenn tatsächliche Anhaltspunkte dafür bestehen, dass die Unterrichtung zur Erfüllung der Aufgaben des Militärischen Abschirmdienstes erforderlich sein könnte. Gleiches gilt für Staatsanwaltschaften und, vorbehaltlich der staatsanwaltschaftlichen Sachleitungsbefugnis, für Polizeien, die Behörden des Zollfahndungsdienstes sowie andere Zolldienststellen, soweit diese Aufgaben nach dem Bundespolizeigesetz wahrnehmen.</w:t>
      </w:r>
    </w:p>
    <w:p>
      <w:r>
        <w:t xml:space="preserve">(2) Der Militärische Abschirmdienst überprüft die übermittelten Informationen nach ihrem Eingang unverzüglich darauf, ob sie für die Erfüllung seiner Aufgaben erforderlich sind. Ergibt die Prüfung, dass die Informationen nicht erforderlich sind, sind sie unverzüglich zu löschen. Die Löschung kann unterbleiben, wenn die Trennung von anderen Informationen, die zur Erfüllung der Aufgaben erforderlich sind, nicht oder nur mit unvertretbarem Aufwand erfolgen kann; die nicht erforderlichen Informationen dürfen nicht verwendet werden.</w:t>
      </w:r>
    </w:p>
    <w:p>
      <w:r>
        <w:t xml:space="preserve">(3) Übermittlungsvorschriften anderer Gesetze bleiben unberührt.</w:t>
      </w:r>
    </w:p>
    <w:p>
      <w:r>
        <w:rPr>
          <w:color w:val="555555"/>
          <w:sz w:val="17"/>
        </w:rPr>
        <w:t xml:space="preserve">Zitiervorschlag: § 42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