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MADG 2026 — Allgemeine Befugnisse zur Datenerhebung</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darf zur Erfüllung seiner Aufgaben Informationen einschließlich personenbezogener Daten erheben; eine Erhebung ist auch zulässig, wenn die betroffene Person eingewilligt hat. Er darf von öffentlichen und nichtöffentlichen Stellen personenbezogene Daten entgegennehmen, die ihm zur Erfüllung seiner Aufgaben übermittelt wurden.</w:t>
      </w:r>
    </w:p>
    <w:p>
      <w:r>
        <w:t xml:space="preserve">(2) Der Militärische Abschirmdienst darf öffentliche Stellen um Übermittlung der zur Erfüllung seiner Aufgaben erforderlichen Informationen einschließlich personenbezogener Daten ersuchen, wenn die Daten nicht aus allgemein zugänglichen Quellen oder nur mit übermäßigem Aufwand oder nur durch eine die betroffene Person stärker belastende Maßnahme erhoben werden können. Würde durch die Übermittlung nach Satz 1 der Zweck der Maßnahme gefährdet oder die betroffene Person unverhältnismäßig beeinträchtigt, darf der Militärische Abschirmdienst bei der Wahrnehmung seiner Aufgaben amtliche Register einsehen. Im Rahmen der Beantwortung des Ersuchens nach Satz 1 dürfen nur diejenigen Informationen einschließlich personenbezogener Daten übermittelt werden, die der ersuchten Stelle bekannt sind oder aus allgemein zugänglichen Quellen entnommen werden können; dies gilt nicht für Ersuchen um solche Daten, die bei der Wahrnehmung grenzpolizeilicher Aufgaben bekannt werden. Die Zulässigkeit dieser besonderen Ersuchen und ihrer Erledigung regelt das Bundesministerium des Innern im Benehmen mit dem Bundeskanzleramt und dem Bundesministerium der Verteidigung in einer Dienstanweisung.</w:t>
      </w:r>
    </w:p>
    <w:p>
      <w:r>
        <w:t xml:space="preserve">(3) Der Militärische Abschirmdienst darf personenbezogene Daten aus öffentlich zugänglichen Quellen automatisiert erheben, wenn tatsächliche Anhaltspunkte dafür vorliegen, dass dies im Einzelfall zur Erfüllung seiner Aufgaben erforderlich ist.</w:t>
      </w:r>
    </w:p>
    <w:p>
      <w:r>
        <w:t xml:space="preserve">(4) Der Militärische Abschirmdienst darf zur Erfüllung seiner Aufgaben Einsicht in die Personalakten der Personen nehmen, die dem Geschäftsbereich des Bundesministeriums der Verteidigung angehören oder in ihm tätig sind. Über die Akteneinsicht erfolgt keine Mitteilung an die betroffene Person. Die Einsichtnahme in die Personalakte ist aktenkundig zu machen. § 108 Absatz 1 Satz 4, auch in Verbindung mit Absatz 3, des Bundesbeamtengesetzes bleibt unberührt.</w:t>
      </w:r>
    </w:p>
    <w:p>
      <w:r>
        <w:t xml:space="preserve">(5) Erhebt der Militärische Abschirmdienst personenbezogene Daten bei der betroffenen Person mit ihrer Kenntnis, so ist der betroffenen Person der Erhebungszweck mitzuteilen. Die betroffene Person ist auf die Freiwilligkeit ihrer Angaben hinzuweisen. Der Hinweis ist aktenkundig zu machen.</w:t>
      </w:r>
    </w:p>
    <w:p>
      <w:r>
        <w:t xml:space="preserve">(6) Soweit es für die Erfüllung der Aufgaben des Militärischen Abschirmdienstes erforderlich ist, kann er eine Person, bargeldlose Zahlungsmittel oder eine Sache, die genannt sind in Artikel 36 Absatz 1 der Verordnung (EU) 2018/1862 nach § 33b Absatz 2 des Bundeskriminalamtgesetzes durch das Bundeskriminalamt im polizeilichen Informationsverbund zur verdeckten Kontrolle ausschreiben lassen, wenn die Voraussetzungen des Artikels 36 Absatz 4 der Verordnung (EU) 2018/1862 sowie tatsächliche Anhaltspunkte für einen grenzüberschreitenden Verkehr vorliegen. Die um Mitteilung ersuchte Stelle kann dem Militärischen Abschirmdienst die Informationen nach Artikel 37 der Verordnung (EU) 2018/1862 übermitteln. Ausschreibungen ordnet die Leitung des Militärischen Abschirmdienstes oder eine von ihr bestimmte Vertretung, die die Befähigung zum Richteramt hat, an. Die Ausschreibung ist auf höchstens sechs Monate zu befristen und kann wiederholt angeordnet werden. Liegen die Voraussetzungen für die Ausschreibung nicht mehr vor, ist der Zweck der Maßnahme erreicht oder zeigt sich, dass er nicht erreicht werden kann, ist die Ausschreibung unverzüglich zu löschen.</w:t>
      </w:r>
    </w:p>
    <w:p>
      <w:r>
        <w:rPr>
          <w:color w:val="555555"/>
          <w:sz w:val="17"/>
        </w:rPr>
        <w:t xml:space="preserve">Zitiervorschlag: § 4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