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MADG 2026 — Minderjährigenschutz bei Inlandsübermittlungen</w:t>
      </w:r>
    </w:p>
    <w:p>
      <w:r>
        <w:rPr>
          <w:color w:val="555555"/>
          <w:sz w:val="18"/>
        </w:rPr>
        <w:t xml:space="preserve">MAD-Gesetz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Der Militärische Abschirmdienst darf personenbezogene Daten, die sich auf das Verhalten Minderjähriger beziehen, nur in den folgenden Fällen übermitteln:</w:t>
      </w:r>
    </w:p>
    <w:p>
      <w:pPr>
        <w:ind w:left="420"/>
      </w:pPr>
      <w:r>
        <w:t xml:space="preserve">1. zur Abwehr einer Gefahr nach § 31 Absatz 1 Satz 1,</w:t>
      </w:r>
    </w:p>
    <w:p>
      <w:pPr>
        <w:ind w:left="420"/>
      </w:pPr>
      <w:r>
        <w:t xml:space="preserve">2. zum administrativen Rechtsgüterschutz nach § 32 Absatz 1 Satz 1 Nummer 1 und 8 oder</w:t>
      </w:r>
    </w:p>
    <w:p>
      <w:pPr>
        <w:ind w:left="420"/>
      </w:pPr>
      <w:r>
        <w:t xml:space="preserve">3. zur Verfolgung einer besonders schweren Straftat nach § 33.</w:t>
      </w:r>
    </w:p>
    <w:p>
      <w:r>
        <w:rPr>
          <w:color w:val="555555"/>
          <w:sz w:val="17"/>
        </w:rPr>
        <w:t xml:space="preserve">Zitiervorschlag: § 36 MADG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https://recht.nulegal.eu/gesetze/MADG%202026/36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