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MADG 2026 — Übermittlungsverbote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Eine Übermittlung unterbleibt, wenn</w:t>
      </w:r>
    </w:p>
    <w:p>
      <w:pPr>
        <w:ind w:left="420"/>
      </w:pPr>
      <w:r>
        <w:t xml:space="preserve">1. erkennbar ist, dass unter Berücksichtigung der Art der Informationen und ihrer Erhebung die schutzwürdigen Interessen der betroffenen Person das Interesse des Empfängers an der Übermittlung überwiegen,</w:t>
      </w:r>
    </w:p>
    <w:p>
      <w:pPr>
        <w:ind w:left="420"/>
      </w:pPr>
      <w:r>
        <w:t xml:space="preserve">2. überwiegende Sicherheitsinteressen, insbesondere Gründe des Schutzes menschlicher Quellen oder des Schutzes operativer Maßnahmen, dies erfordern oder</w:t>
      </w:r>
    </w:p>
    <w:p>
      <w:pPr>
        <w:ind w:left="420"/>
      </w:pPr>
      <w:r>
        <w:t xml:space="preserve">3. besondere gesetzliche Regelungen entgegenstehen oder die zu übermittelnden Daten nicht der Verfügungsberechtigung des Militärischen Abschirmdienstes unterliegen; die Verpflichtung zur Wahrung gesetzlicher Geheimhaltungspflichten oder von Berufs- oder besonderen Amtsgeheimnissen, die nicht auf gesetzlichen Vorschriften beruhen, bleibt unberührt.</w:t>
      </w:r>
    </w:p>
    <w:p>
      <w:r>
        <w:t xml:space="preserve">Der Bezug einer Information zum Aufgabenbereich des Militärischen Abschirmdienstes stellt als solcher keinen Grund nach Satz 1 dar.</w:t>
      </w:r>
    </w:p>
    <w:p>
      <w:r>
        <w:t xml:space="preserve">(2) Sofern Gründe nach Absatz 1 Satz 1 einer Übermittlung nach diesem Abschnitt entgegenstehen, sind diese aktenkundig zu machen.</w:t>
      </w:r>
    </w:p>
    <w:p>
      <w:r>
        <w:rPr>
          <w:color w:val="555555"/>
          <w:sz w:val="17"/>
        </w:rPr>
        <w:t xml:space="preserve">Zitiervorschlag: § 30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