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MADG 2026 — Zusammenarbeit</w:t>
      </w:r>
    </w:p>
    <w:p>
      <w:r>
        <w:rPr>
          <w:color w:val="555555"/>
          <w:sz w:val="18"/>
        </w:rPr>
        <w:t xml:space="preserve">MAD-Gesetz</w:t>
      </w:r>
    </w:p>
    <w:p>
      <w:r>
        <w:rPr>
          <w:color w:val="555555"/>
          <w:sz w:val="18"/>
        </w:rPr>
        <w:t xml:space="preserve">Stand: 16.01.2026 (konsolidierte Textfassung, kein amtliches Inkrafttretensdatum)</w:t>
      </w:r>
    </w:p>
    <w:p>
      <w:r>
        <w:t xml:space="preserve">(1) Der Militärische Abschirmdienst und die anderen Verfassungsschutzbehörden des Bundes und der Länder arbeiten bei der Erfüllung ihrer Aufgaben zusammen. Die Zusammenarbeit besteht auch in der gemeinsamen Teilnahme am nachrichtendienstlichen Informationssystem der Verfassungsschutzbehörden sowie in gegenseitiger Unterstützung und Hilfeleistung. Der Militärische Abschirmdienst und die anderen Verfassungsschutzbehörden unterrichten einander über alle Angelegenheiten, deren Kenntnis für die Erfüllung ihrer jeweiligen Aufgaben erforderlich ist. Dies gilt im Einzelfall auch für Angelegenheiten von Reservistinnen und Reservisten nach § 1 des Reservistengesetzes. Der Militärische Abschirmdienst und die anderen Verfassungsschutzbehörden des Bundes und der Länder können zudem gemeinsam Befähigungen entwickeln und gemeinsam Operationen im Rahmen und in den Grenzen ihrer jeweiligen Zuständigkeiten durchführen.</w:t>
      </w:r>
    </w:p>
    <w:p>
      <w:r>
        <w:t xml:space="preserve">(2) Der Militärische Abschirmdienst und der Bundesnachrichtendienst arbeiten bei der Erfüllung ihrer Aufgaben zusammen. Sie unterrichten einander über Angelegenheiten, deren Kenntnis für die Erfüllung ihrer jeweiligen Aufgaben erforderlich ist. Der Militärische Abschirmdienst übermittelt dem Bundesnachrichtendienst Informationen, einschließlich personenbezogener Daten, soweit sich aus ihnen Erkenntnisse über das Ausland von außen- und sicherheitspolitischer Bedeutung ergeben.</w:t>
      </w:r>
    </w:p>
    <w:p>
      <w:r>
        <w:rPr>
          <w:color w:val="555555"/>
          <w:sz w:val="17"/>
        </w:rPr>
        <w:t xml:space="preserve">Zitiervorschlag: § 3 MADG 2026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https://recht.nulegal.eu/gesetze/MADG%202026/3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