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MADG 2026 — Schutz von zeugnisverweigerungsberechtigten Berufsgeheimnisträgerinnen und Berufsgeheimnisträgern</w:t>
      </w:r>
    </w:p>
    <w:p>
      <w:r>
        <w:rPr>
          <w:color w:val="555555"/>
          <w:sz w:val="18"/>
        </w:rPr>
        <w:t xml:space="preserve">MAD-Gesetz</w:t>
      </w:r>
    </w:p>
    <w:p>
      <w:r>
        <w:rPr>
          <w:color w:val="555555"/>
          <w:sz w:val="18"/>
        </w:rPr>
        <w:t xml:space="preserve">Stand: 16.01.2026 (konsolidierte Textfassung, kein amtliches Inkrafttretensdatum)</w:t>
      </w:r>
    </w:p>
    <w:p>
      <w:r>
        <w:t xml:space="preserve">(1) Eine Maßnahme gegen eine Rechtsanwältin oder einen Rechtsanwalt, einen Kammerrechtsbeistand oder eine Berufsgeheimnisträgerin oder einen Berufsgeheimnisträger, die oder der in § 53 Absatz 1 Satz 1 Nummer 1, 2 oder 4 der Strafprozessordnung genannt ist, ist unzulässig, wenn sie voraussichtlich Informationen erbringen würde, über die diese Person das Zeugnis verweigern dürfte.</w:t>
      </w:r>
    </w:p>
    <w:p>
      <w:r>
        <w:t xml:space="preserve">(2) Bei einer Maßnahme gegen in § 53 Absatz 1 Satz 1 Nummer 3 bis 3b oder Nummer 5 der Strafprozessordnung genannte Berufsgeheimnisträgerinnen oder Berufsgeheimnisträger, bei der voraussichtlich Erkenntnisse erlangt würden, über die diese Person das Zeugnis verweigern dürfte, sind das öffentliche Interesse an den von dieser Person wahrgenommenen Aufgaben und das Interesse an der Geheimhaltung der dieser Person anvertrauten oder bekannt gewordenen Tatsachen zu berücksichtigen. Die Maßnahme ist nur zulässig, wenn sie</w:t>
      </w:r>
    </w:p>
    <w:p>
      <w:pPr>
        <w:ind w:left="420"/>
      </w:pPr>
      <w:r>
        <w:t xml:space="preserve">1. unter den zusätzlichen Voraussetzungen mindestens von § 8 Absatz 2 erfolgt und</w:t>
      </w:r>
    </w:p>
    <w:p>
      <w:pPr>
        <w:ind w:left="420"/>
      </w:pPr>
      <w:r>
        <w:t xml:space="preserve">2. keinen Nachteil herbeiführt, der erkennbar außer Verhältnis zu dem beabsichtigten Erfolg steht.</w:t>
      </w:r>
    </w:p>
    <w:p>
      <w:r>
        <w:t xml:space="preserve">Für Rechtsanwältinnen oder Rechtsanwälte und Kammerrechtsbeistände gilt Absatz 1.</w:t>
      </w:r>
    </w:p>
    <w:p>
      <w:r>
        <w:t xml:space="preserve">(3) Die Absätze 1 und 2 sind auf die in § 53a der Strafprozessordnung genannten Personen entsprechend anzuwenden.</w:t>
      </w:r>
    </w:p>
    <w:p>
      <w:r>
        <w:t xml:space="preserve">(4) Die Absätze 1 bis 3 sind nicht anzuwenden, wenn die Maßnahme wegen tatsächlicher Anhaltspunkte dafür, dass die Person an den Bestrebungen oder Tätigkeiten beteiligt ist, durchgeführt wird.</w:t>
      </w:r>
    </w:p>
    <w:p>
      <w:r>
        <w:t xml:space="preserve">(5) Hat der Militärische Abschirmdienst von einer in den Absätzen 1 bis 3 genannten Person Informationen gewonnen, die von ihr nach den Absätzen 1 bis 4 nicht gezielt erhoben werden dürfen, gilt § 28 Absatz 7 entsprechend. Bestehen Zweifel, ob die Information hätte gezielt erhoben werden dürfen, gilt § 28 Absatz 5 entsprechend.</w:t>
      </w:r>
    </w:p>
    <w:p>
      <w:r>
        <w:rPr>
          <w:color w:val="555555"/>
          <w:sz w:val="17"/>
        </w:rPr>
        <w:t xml:space="preserve">Zitiervorschlag: § 29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