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MADG 2026 — Schutz des Kernbereichs privater Lebensgestaltung</w:t>
      </w:r>
    </w:p>
    <w:p>
      <w:r>
        <w:rPr>
          <w:color w:val="555555"/>
          <w:sz w:val="18"/>
        </w:rPr>
        <w:t xml:space="preserve">MAD-Gesetz</w:t>
      </w:r>
    </w:p>
    <w:p>
      <w:r>
        <w:rPr>
          <w:color w:val="555555"/>
          <w:sz w:val="18"/>
        </w:rPr>
        <w:t xml:space="preserve">Stand: 16.01.2026 (konsolidierte Textfassung, kein amtliches Inkrafttretensdatum)</w:t>
      </w:r>
    </w:p>
    <w:p>
      <w:r>
        <w:t xml:space="preserve">(1) Die Datenerhebung zur Erlangung von Erkenntnissen über den Kernbereich privater Lebensgestaltung (kernbereichsrelevante Informationen) ist unzulässig. Eine Maßnahme ist unzulässig, soweit tatsächliche Anhaltspunkte dafür vorliegen, dass durch sie allein kernbereichsrelevante Informationen gewonnen werden würden. Bei einer Planung von Einsatzumständen ist darauf hinzuwirken, dass die Erlangung kernbereichsrelevanter Informationen vermieden wird.</w:t>
      </w:r>
    </w:p>
    <w:p>
      <w:r>
        <w:t xml:space="preserve">(2) Der Einsatz technischer Mittel zur Wohnraumüberwachung nach § 11 Absatz 1 ist nur zulässig, wenn tatsächliche Anhaltspunkte die Annahme rechtfertigen, dass durch die Überwachung Informationen, die dem Kernbereich privater Lebensgestaltung zuzurechnen sind, nicht erhoben werden.</w:t>
      </w:r>
    </w:p>
    <w:p>
      <w:r>
        <w:t xml:space="preserve">(3) Bei der Asservatenauswertung nach § 16 Absatz 2 Satz 1 ist der informationstechnische Speicher der Aufsichtsperson zur Durchführung einer Vorprüfung vorzulegen, soweit nach den Umständen des Einzelfalles zu erwarten ist, dass der informationstechnische Speicher Informationen enthält, die</w:t>
      </w:r>
    </w:p>
    <w:p>
      <w:pPr>
        <w:ind w:left="420"/>
      </w:pPr>
      <w:r>
        <w:t xml:space="preserve">1. kernbereichsrelevant sind oder</w:t>
      </w:r>
    </w:p>
    <w:p>
      <w:pPr>
        <w:ind w:left="420"/>
      </w:pPr>
      <w:r>
        <w:t xml:space="preserve">2. den Verarbeitungsbeschränkungen nach § 16 Absatz 2 Satz 4 unterliegen.</w:t>
      </w:r>
    </w:p>
    <w:p>
      <w:r>
        <w:t xml:space="preserve">Aufsichtsperson ist eine von der Leitung des Militärischen Abschirmdienstes damit besonders beauftragte Person, die die Befähigung zum Richteramt hat und die in dieser Funktion keinen Weisungen unterliegt.</w:t>
      </w:r>
    </w:p>
    <w:p>
      <w:r>
        <w:t xml:space="preserve">(4) Ergeben sich während der Durchführung einer Maßnahme tatsächliche Anhaltspunkte dafür, dass kernbereichsrelevante Informationen erfasst werden, so ist die Maßnahme zu unterbrechen. Die Fortführung ist nur zulässig, wenn und solange dies zum Schutz von Leib, Leben oder Freiheit einer eingesetzten Person oder ihrer weiteren Einsetzbarkeit erforderlich ist. Die Unterbrechung und eine Fortführung nach Satz 2 sind unter Angabe der Gründe zu dokumentieren. Beim Einsatz technischer Mittel dürfen automatische Aufzeichnungen ohne unmittelbare Kenntnisnahme fortgesetzt werden, wenn Zweifel am Vorliegen kernbereichsrelevanter Informationen bestehen.</w:t>
      </w:r>
    </w:p>
    <w:p>
      <w:r>
        <w:t xml:space="preserve">(5) Bestehen Zweifel, ob bei einer Maßnahme kernbereichsrelevante Informationen gewonnen worden sind, entscheidet die Aufsichtsperson. Aufzeichnungen nach Absatz 4 Satz 3 sind der Aufsichtsperson unverzüglich vorzulegen. Die Aufzeichnungen und sonstigen Informationen, bei denen Zweifel zur Kernbereichsrelevanz bestehen, dürfen nur mit ihrer Zustimmung verwendet werden.</w:t>
      </w:r>
    </w:p>
    <w:p>
      <w:r>
        <w:t xml:space="preserve">(6) Alle nach § 11 erhobenen Daten müssen dem nach § 45 Absatz 1 zuständigen Gericht unverzüglich und vor Kenntnisnahme durch den Militärischen Abschirmdienst zur Überprüfung vorgelegt werden, ob sie kernbereichsrelevante Informationen enthalten.</w:t>
      </w:r>
    </w:p>
    <w:p>
      <w:r>
        <w:t xml:space="preserve">(7) Hat der Militärische Abschirmdienst kernbereichsrelevante Informationen gewonnen, so dürfen diese Daten nicht verwendet werden; sie sind unverzüglich zu löschen. Die Tatsache ihrer Erhebung und Löschung ist zu protokollieren. Die Protokolldaten dürfen ausschließlich für Zwecke der Datenschutzkontrolle verwendet werden. Im Falle der Mitteilung an die betroffene Person nach § 23 Absatz 1 erfolgt die Löschung sechs Monate nach der Mitteilung. Wird nach § 23 Absatz 3 Satz 3 oder § 23 Absatz 4 endgültig von einer Mittelung abgesehen, erfolgt die Löschung sechs Monate nach dem abschließenden Absehen von der Mitteilung. In allen anderen Fällen erfolgt die Löschung am Ende des zweiten Kalenderjahres, das dem Kalenderjahr der Protokollierung folgt.</w:t>
      </w:r>
    </w:p>
    <w:p>
      <w:r>
        <w:rPr>
          <w:color w:val="555555"/>
          <w:sz w:val="17"/>
        </w:rPr>
        <w:t xml:space="preserve">Zitiervorschlag: § 28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