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MADG 2026 — Weitere Befugnisse im Ausland</w:t>
      </w:r>
    </w:p>
    <w:p>
      <w:r>
        <w:rPr>
          <w:color w:val="555555"/>
          <w:sz w:val="18"/>
        </w:rPr>
        <w:t xml:space="preserve">MAD-Gesetz</w:t>
      </w:r>
    </w:p>
    <w:p>
      <w:r>
        <w:rPr>
          <w:color w:val="555555"/>
          <w:sz w:val="18"/>
        </w:rPr>
        <w:t xml:space="preserve">Stand: 16.01.2026 (konsolidierte Textfassung, kein amtliches Inkrafttretensdatum)</w:t>
      </w:r>
    </w:p>
    <w:p>
      <w:r>
        <w:t xml:space="preserve">(1) Auf dem Hoheitsgebiet eines Bündnispartners oder eines sonstigen Verbündeten stehen dem Militärischen Abschirmdienst Befugnisse nach diesem Gesetz nur im Einvernehmen mit diesem Staat zu.</w:t>
      </w:r>
    </w:p>
    <w:p>
      <w:r>
        <w:t xml:space="preserve">(2) Liegen tatsächliche Anhaltspunkte vor, dass dies zur Aufgabenerfüllung nach § 2 Absatz 1 außerhalb des deutschen Hoheitsgebietes erforderlich ist, gelten für den Einsatz besonderer Befugnisse die zusätzlichen Voraussetzungen des § 8 Absatz 2 bis 4 nur gegenüber deutschen Staatsangehörigen.</w:t>
      </w:r>
    </w:p>
    <w:p>
      <w:r>
        <w:t xml:space="preserve">(3) Liegen tatsächliche Anhaltspunkte vor, dass dies zur Aufgabenerfüllung nach § 2 Absatz 5 erforderlich ist, darf der Militärische Abschirmdienst besondere Befugnisse nach Abschnitt 2 einsetzen. Beim Einsatz besonderer Befugnisse gilt gegenüber deutschen Staatsangehörigen im Ausland Folgendes:</w:t>
      </w:r>
    </w:p>
    <w:p>
      <w:pPr>
        <w:ind w:left="420"/>
      </w:pPr>
      <w:r>
        <w:t xml:space="preserve">1. der Einsatz von besonderen Befugnissen mit erheblicher Eingriffsintensität, die nur unter den zusätzlichen Voraussetzungen des § 8 Absatz 2 zulässig sind, ist nur dann gerechtfertigt, wenn auf Grundlage tatsächlicher Anhaltspunkte der Einsatz dieser Befugnis zur Aufklärung von Personen erforderlich ist, deren Handeln auf die Ausübung von Gewalt gegen Personen oder Sachen von bedeutendem Wert gerichtet ist,</w:t>
      </w:r>
    </w:p>
    <w:p>
      <w:pPr>
        <w:ind w:left="420"/>
      </w:pPr>
      <w:r>
        <w:t xml:space="preserve">2. der Einsatz von besonderen Befugnissen mit besonders erheblicher Eingriffsintensität, die nur unter den zusätzlichen Voraussetzungen des § 8 Absatz 3 zulässig sind, ist nur dann gerechtfertigt, wenn auf Grundlage tatsächlicher Anhaltspunkte der Einsatz dieser Befugnis zur Aufklärung von Personen erforderlich ist, die Straftaten vorbereiten oder begehen, die nach deutschem Strafrecht im Höchstmaß mit Freiheitsstrafe von mindestens fünf Jahren bedroht sind,</w:t>
      </w:r>
    </w:p>
    <w:p>
      <w:pPr>
        <w:ind w:left="420"/>
      </w:pPr>
      <w:r>
        <w:t xml:space="preserve">3. der Einsatz von besonderen Befugnissen mit äußerst erheblicher Eingriffsintensität, die nur unter den zusätzlichen Voraussetzungen des § 8 Absatz 4 zulässig sind, ist nur dann gerechtfertigt, wenn der Einsatz der Befugnis im Einzelfall zur Abwehr einer dringenden Gefahr für Leib, Leben oder Freiheit einer Person oder für Sachen von bedeutendem Wert, deren Erhaltung im besonderen öffentlichen Interesse geboten ist, erforderlich ist.</w:t>
      </w:r>
    </w:p>
    <w:p>
      <w:r>
        <w:rPr>
          <w:color w:val="555555"/>
          <w:sz w:val="17"/>
        </w:rPr>
        <w:t xml:space="preserve">Zitiervorschlag: § 27 MADG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https://recht.nulegal.eu/gesetze/MADG%202026/27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