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MADG 2026 — Besondere Auskunftsverlangen zu Bestandsdaten</w:t>
      </w:r>
    </w:p>
    <w:p>
      <w:r>
        <w:rPr>
          <w:color w:val="555555"/>
          <w:sz w:val="18"/>
        </w:rPr>
        <w:t xml:space="preserve">MAD-Gesetz</w:t>
      </w:r>
    </w:p>
    <w:p>
      <w:r>
        <w:rPr>
          <w:color w:val="555555"/>
          <w:sz w:val="18"/>
        </w:rPr>
        <w:t xml:space="preserve">Stand: 16.01.2026 (konsolidierte Textfassung, kein amtliches Inkrafttretensdatum)</w:t>
      </w:r>
    </w:p>
    <w:p>
      <w:r>
        <w:t xml:space="preserve">(1) Soweit tatsächliche Anhaltspunkte vorliegen, die den Verdacht einer Bestrebung oder Tätigkeit begründen, und wenn es im Einzelfall zur Aufklärung dieser Bestrebung oder Tätigkeit erforderlich ist, darf der Militärische Abschirmdienst zur Aufgabenerfüllung nach § 2 Absatz 1 Auskunft verlangen von</w:t>
      </w:r>
    </w:p>
    <w:p>
      <w:pPr>
        <w:ind w:left="420"/>
      </w:pPr>
      <w:r>
        <w:t xml:space="preserve">1. der Bundesnetzagentur nach § 173 Absatz 1 in Verbindung mit Absatz 4 Nummer 4 des Telekommunikationsgesetzes,</w:t>
      </w:r>
    </w:p>
    <w:p>
      <w:pPr>
        <w:ind w:left="420"/>
      </w:pPr>
      <w:r>
        <w:t xml:space="preserve">2. dem Bundeszentralamt für Steuern nach § 93b Absatz 2 der Abgabenordnung und</w:t>
      </w:r>
    </w:p>
    <w:p>
      <w:pPr>
        <w:ind w:left="420"/>
      </w:pPr>
      <w:r>
        <w:t xml:space="preserve">3. denjenigen, die geschäftsmäßig</w:t>
      </w:r>
    </w:p>
    <w:p>
      <w:pPr>
        <w:ind w:left="780"/>
      </w:pPr>
      <w:r>
        <w:t xml:space="preserve">a) Telekommunikationsdienste erbringen oder an der Erbringung mitwirken, über Bestandsdaten nach § 3 Nummer 6 und die nach § 172 Absatz 1 Satz 1 und 2 und Absatz 3 des Telekommunikationsgesetzes erhobenen Daten,</w:t>
      </w:r>
    </w:p>
    <w:p>
      <w:pPr>
        <w:ind w:left="780"/>
      </w:pPr>
      <w:r>
        <w:t xml:space="preserve">b) digitale Dienste erbringen oder an der Erbringung mitwirken, über Bestandsdaten nach § 2 Absatz 2 Nummer 2 des Telekommunikation-Digitale-Dienste-Datenschutz-Gesetzes,</w:t>
      </w:r>
    </w:p>
    <w:p>
      <w:pPr>
        <w:ind w:left="780"/>
      </w:pPr>
      <w:r>
        <w:t xml:space="preserve">c) nach § 2 Absatz 1 des Geldwäschegesetzes tätig sind und nicht durch Rechtsverordnung nach § 2 Absatz 2 des Geldwäschegesetzes vom Anwendungsbereich des Geldwäschegesetzes ausgenommen oder entsprechend § 30 Absatz 3 Satz 3 und 4 des Geldwäschegesetzes zur Verweigerung der Auskunft berechtigt sind, über die Personen, denen sie geschäftsmäßig Leistungen erbringen, einschließlich wirtschaftlich Berechtigter, und die Art der zu erbringenden Leistung sowie Vertragsrahmendaten, einschließlich der zur Vertragsdurchführung vergebenen Kennungen, und über die zur Änderung oder Beendigung des Vertragsverhältnisses gespeicherten Daten.</w:t>
      </w:r>
    </w:p>
    <w:p>
      <w:r>
        <w:t xml:space="preserve">Ein Auskunftsverlangen nach Satz 1 Nummer 3 Buchstabe a und c ist nur zulässig, soweit die Information nicht nach Satz 1 Nummer 1 oder Satz 1 Nummer 2 zu erlangen ist.</w:t>
      </w:r>
    </w:p>
    <w:p>
      <w:r>
        <w:t xml:space="preserve">(2) Das Auskunftsverlangen darf sich auch auf eine anhand einer zu einem bestimmten Zeitpunkt zugewiesenen Internetprotokoll-Adresse beziehen. Die Rechtsgrundlage und die tatsächlichen Anhaltspunkte, die das Auskunftsverlangen veranlassen, sind aktenkundig zu machen.</w:t>
      </w:r>
    </w:p>
    <w:p>
      <w:r>
        <w:t xml:space="preserve">(3) Die Auskunft zu Daten, mittels derer der Zugriff auf Endgeräte oder auf Speichereinrichtungen, die in diesen Endgeräten oder hiervon räumlich getrennt eingesetzt werden, geschützt wird, darf nur im Fall des Absatzes 1 Satz 1 Nummer 3 Buchstabe a verlangt werden, wenn die gesetzlichen Voraussetzungen für die Weiterverarbeitung der Daten vorliegen.</w:t>
      </w:r>
    </w:p>
    <w:p>
      <w:r>
        <w:t xml:space="preserve">(4) Auskünfte nach Absatz 1 Satz 1 Nummer 3 dürfen bei Stellen eingeholt werden, die in der Bundesrepublik Deutschland</w:t>
      </w:r>
    </w:p>
    <w:p>
      <w:pPr>
        <w:ind w:left="420"/>
      </w:pPr>
      <w:r>
        <w:t xml:space="preserve">1. eine Niederlassung haben oder</w:t>
      </w:r>
    </w:p>
    <w:p>
      <w:pPr>
        <w:ind w:left="420"/>
      </w:pPr>
      <w:r>
        <w:t xml:space="preserve">2. Leistungen erbringen oder an der Erbringung der Leistungen mitwirken.</w:t>
      </w:r>
    </w:p>
    <w:p>
      <w:r>
        <w:t xml:space="preserve">(5) Nach Erhalt des Auskunftsverlangens sind die in Absatz 1 Satz 1 Nummer 3 genannten Stellen verpflichtet, die Daten unverzüglich, vollständig und richtig zu übermitteln. Sie dürfen den betroffenen Personen oder Dritten über das Auskunftsverlangen und die Auskunftserteilung keine Mitteilung machen. Ihnen ist es verboten, allein aufgrund eines Auskunftsverlangens nach Absatz 1 einseitige Handlungen vorzunehmen, die für die betroffene Person nachteilig sind und die über die Erteilung der Auskunft hinausgehen, insbesondere bestehende Verträge oder Geschäftsverbindungen zu beenden, ihren Umfang zu beschränken oder ein Entgelt zu erheben oder zu erhöhen. Das Auskunftsverlangen ist mit dem ausdrücklichen Hinweis auf dieses Verbot und darauf zu verbinden, dass das Auskunftsersuchen nicht die Aussage beinhaltet, dass sich die betroffene Person rechtswidrig verhalten hat oder ein darauf gerichteter Verdacht besteht.</w:t>
      </w:r>
    </w:p>
    <w:p>
      <w:r>
        <w:t xml:space="preserve">(6) Der Militärische Abschirmdienst hat den in Absatz 1 Satz 1 Nummer 3 genannten Stellen für ihm erteilte Auskünfte eine Entschädigung zu gewähren. Der Umfang der Entschädigung bemisst sich nach § 23 und Anlage 3 des Justizvergütungs- und -entschädigungsgesetzes; die Vorschriften über die Verjährung in § 2 Absatz 1 und 4 des Justizvergütungs- und -entschädigungsgesetzes finden entsprechend Anwendung.</w:t>
      </w:r>
    </w:p>
    <w:p>
      <w:r>
        <w:rPr>
          <w:color w:val="555555"/>
          <w:sz w:val="17"/>
        </w:rPr>
        <w:t xml:space="preserve">Zitiervorschlag: § 19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