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MADG 2026 — Überwachung der Telekommunikation sowie des Brief- und Postverkehrs</w:t>
      </w:r>
    </w:p>
    <w:p>
      <w:r>
        <w:rPr>
          <w:color w:val="555555"/>
          <w:sz w:val="18"/>
        </w:rPr>
        <w:t xml:space="preserve">MAD-Gesetz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Für die Überwachung der Telekommunikation sowie des Brief- und Postverkehrs einschließlich der Verarbeitung der durch die Überwachung erlangten personenbezogenen Daten gelten unbeschadet des § 22 die Vorschriften des Artikel 10-Gesetzes.</w:t>
      </w:r>
    </w:p>
    <w:p>
      <w:r>
        <w:rPr>
          <w:color w:val="555555"/>
          <w:sz w:val="17"/>
        </w:rPr>
        <w:t xml:space="preserve">Zitiervorschlag: § 18 MADG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https://recht.nulegal.eu/gesetze/MADG%202026/18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