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MADG 2026 — Einsatz von verdeckten Bediensteten</w:t>
      </w:r>
    </w:p>
    <w:p>
      <w:r>
        <w:rPr>
          <w:color w:val="555555"/>
          <w:sz w:val="18"/>
        </w:rPr>
        <w:t xml:space="preserve">MAD-Gesetz</w:t>
      </w:r>
    </w:p>
    <w:p>
      <w:r>
        <w:rPr>
          <w:color w:val="555555"/>
          <w:sz w:val="18"/>
        </w:rPr>
        <w:t xml:space="preserve">Stand: 16.01.2026 (konsolidierte Textfassung, kein amtliches Inkrafttretensdatum)</w:t>
      </w:r>
    </w:p>
    <w:p>
      <w:r>
        <w:t xml:space="preserve">Bei dem Einsatz von verdeckten Bediensteten nach § 8 Absatz 1 Satz 1 Nummer 12 darf der Militärische Abschirmdienst eigene Bedienstete unter einer ihnen verliehenen und auf Dauer angelegten Legende einsetzen. Für den Einsatz gilt § 13 Absatz 2 bis 5 entsprechend.</w:t>
      </w:r>
    </w:p>
    <w:p>
      <w:r>
        <w:rPr>
          <w:color w:val="555555"/>
          <w:sz w:val="17"/>
        </w:rPr>
        <w:t xml:space="preserve">Zitiervorschlag: § 14 MADG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https://recht.nulegal.eu/gesetze/MADG%202026/14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