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MADG 2026 — Technische Ortung; Aufenthaltsbestimmung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Bei der technischen Ortung von Geräten, einschließlich Mobilfunkendgeräten, und bei der Aufenthaltsbestimmung nach § 8 Absatz 1 Satz 1 Nummer 10 darf der Militärische Abschirmdienst technische Mittel einsetzen</w:t>
      </w:r>
    </w:p>
    <w:p>
      <w:pPr>
        <w:ind w:left="420"/>
      </w:pPr>
      <w:r>
        <w:t xml:space="preserve">1. zur Ermittlung der Geräte- oder Kartennummer eines aktiv geschalteten Mobilfunkendgerätes und</w:t>
      </w:r>
    </w:p>
    <w:p>
      <w:pPr>
        <w:ind w:left="420"/>
      </w:pPr>
      <w:r>
        <w:t xml:space="preserve">2. für die Bestimmung des Standorts einer Person oder eines Gegenstandes zur Ermöglichung und Durchführung der Observation sowie zur Aufenthaltsbestimmung.</w:t>
      </w:r>
    </w:p>
    <w:p>
      <w:r>
        <w:t xml:space="preserve">(2) Nur unter den zusätzlichen Voraussetzungen mindestens des § 8 Absatz 2 zulässig ist der Einsatz technischer Mittel zur Bewegungsbestimmung</w:t>
      </w:r>
    </w:p>
    <w:p>
      <w:pPr>
        <w:ind w:left="420"/>
      </w:pPr>
      <w:r>
        <w:t xml:space="preserve">1. durchgehend länger als sieben Tage,</w:t>
      </w:r>
    </w:p>
    <w:p>
      <w:pPr>
        <w:ind w:left="420"/>
      </w:pPr>
      <w:r>
        <w:t xml:space="preserve">2. an 14 oder mehr einzelnen Tagen innerhalb eines Zeitraums von 30 Tagen oder</w:t>
      </w:r>
    </w:p>
    <w:p>
      <w:pPr>
        <w:ind w:left="420"/>
      </w:pPr>
      <w:r>
        <w:t xml:space="preserve">3. in einer Weise, die ein den Nummern 1 und 2 in der Persönlichkeitsrelevanz gleichwertiges Bewegungsprofil ergibt.</w:t>
      </w:r>
    </w:p>
    <w:p>
      <w:r>
        <w:t xml:space="preserve">(3) Nur unter den zusätzlichen Voraussetzungen mindestens des § 8 Absatz 3 zulässig ist der Einsatz technischer Mittel zur Bewegungsbestimmung</w:t>
      </w:r>
    </w:p>
    <w:p>
      <w:pPr>
        <w:ind w:left="420"/>
      </w:pPr>
      <w:r>
        <w:t xml:space="preserve">1. durchgehend länger als 30 Tage,</w:t>
      </w:r>
    </w:p>
    <w:p>
      <w:pPr>
        <w:ind w:left="420"/>
      </w:pPr>
      <w:r>
        <w:t xml:space="preserve">2. an mehr als fünf Wochen innerhalb eines Zeitraums von 60 Tagen oder</w:t>
      </w:r>
    </w:p>
    <w:p>
      <w:pPr>
        <w:ind w:left="420"/>
      </w:pPr>
      <w:r>
        <w:t xml:space="preserve">3. in einer Weise, die ein den Nummern 1 und 2 in der Persönlichkeitsrelevanz gleichwertiges Bewegungsprofil ergibt.</w:t>
      </w:r>
    </w:p>
    <w:p>
      <w:r>
        <w:rPr>
          <w:color w:val="555555"/>
          <w:sz w:val="17"/>
        </w:rPr>
        <w:t xml:space="preserve">Zitiervorschlag: § 12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