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MünzG 2002 — Ausprägung von deutschen Euro-Münzen</w:t>
      </w:r>
    </w:p>
    <w:p>
      <w:r>
        <w:rPr>
          <w:color w:val="555555"/>
          <w:sz w:val="18"/>
        </w:rPr>
        <w:t xml:space="preserve">Münzgesetz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 prägt Münzen (deutsche Euro-Münzen) gemäß der Verordnung (EG) Nr. 975/98 des Rates vom 3. Mai 1998 über die Stückelungen und die technischen Merkmale der für den Umlauf bestimmten Euro-Münzen (ABl. EG Nr. L 139 S. 6) in der jeweils geltenden Fassung aus.</w:t>
      </w:r>
    </w:p>
    <w:p>
      <w:r>
        <w:rPr>
          <w:color w:val="555555"/>
          <w:sz w:val="17"/>
        </w:rPr>
        <w:t xml:space="preserve">Zitiervorschlag: § 1 MünzG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https://recht.nulegal.eu/gesetze/M%C3%BCnzG%202002/1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