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MühGetreiWiTechAusbV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236 Nummer 1 der Verordnung vom 31. August 2015 (BGBl. I S. 1474) geändert worden ist, und auf Grund des § 25 Absatz 1 Satz 1 der Handwerksordnung,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