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MühGetreiWiTechAusbV — Gewichtung der Prüfungsbereiche und Anforderungen für das Bestehen der Abschluss- oder Gesellenprüfung</w:t>
      </w:r>
    </w:p>
    <w:p>
      <w:r>
        <w:rPr>
          <w:color w:val="555555"/>
          <w:sz w:val="18"/>
        </w:rPr>
        <w:t xml:space="preserve">Verordnung über die Berufsausbildung zum Verfahrenstechnologen Mühlen- und Getreidewirtschaft und zur Verfahrenstechnologin Mühlen- und Getreidewirtschaft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Bewertungen der einzelnen Prüfungsbereiche sind in der Fachrichtung Agrarlager wie folgt zu gewichten:</w:t>
      </w:r>
    </w:p>
    <w:p>
      <w:r>
        <w:rPr>
          <w:rFonts w:ascii="Courier New" w:hAnsi="Courier New"/>
          <w:sz w:val="17"/>
        </w:rPr>
        <w:t xml:space="preserve">Annehmen von Rohstoffen    mit 25 Prozent,</w:t>
      </w:r>
    </w:p>
    <w:p>
      <w:r>
        <w:rPr>
          <w:rFonts w:ascii="Courier New" w:hAnsi="Courier New"/>
          <w:sz w:val="17"/>
        </w:rPr>
        <w:t xml:space="preserve">Rohstoffe und Saatgut    mit 20 Prozent,</w:t>
      </w:r>
    </w:p>
    <w:p>
      <w:r>
        <w:rPr>
          <w:rFonts w:ascii="Courier New" w:hAnsi="Courier New"/>
          <w:sz w:val="17"/>
        </w:rPr>
        <w:t xml:space="preserve">Anwenden und Abgeben von Pflanzenschutzmitteln    mit 15 Prozent,</w:t>
      </w:r>
    </w:p>
    <w:p>
      <w:r>
        <w:rPr>
          <w:rFonts w:ascii="Courier New" w:hAnsi="Courier New"/>
          <w:sz w:val="17"/>
        </w:rPr>
        <w:t xml:space="preserve">Lagerungstechniken    mit 30 Prozent sowie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5. (2) Die Abschluss- oder Gesellenprüfung ist bestanden, wenn die Prüfungsleistungen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in mindestens drei Prüfungsbereichen von Teil 2 mit mindestens „ausreichend“ und</w:t>
      </w:r>
    </w:p>
    <w:p>
      <w:pPr>
        <w:ind w:left="420"/>
      </w:pPr>
      <w:r>
        <w:t xml:space="preserve">4. in keinem Prüfungsbereich von Teil 2 mit „ungenügend“.</w:t>
      </w:r>
    </w:p>
    <w:p>
      <w:r>
        <w:t xml:space="preserve">(3) Auf Antrag des Prüflings ist die Prüfung in einem der Prüfungsbereiche „Lagerungstechniken“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Abschluss- oder Gesellenprüfung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22 MühGetreiWiTechAusbV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https://recht.nulegal.eu/gesetze/M%C3%BChGetreiWiTechAusbV/22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