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MühGetreiWiTechAusbV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in der Fachrichtung Müllerei wie folgt zu gewichten:</w:t>
      </w:r>
    </w:p>
    <w:p>
      <w:r>
        <w:rPr>
          <w:rFonts w:ascii="Courier New" w:hAnsi="Courier New"/>
          <w:sz w:val="17"/>
        </w:rPr>
        <w:t xml:space="preserve">Annehmen von Rohstoffen    mit 25 Prozent,</w:t>
      </w:r>
    </w:p>
    <w:p>
      <w:r>
        <w:rPr>
          <w:rFonts w:ascii="Courier New" w:hAnsi="Courier New"/>
          <w:sz w:val="17"/>
        </w:rPr>
        <w:t xml:space="preserve">Herstellen von Enderzeugnissen    mit 35 Prozent,</w:t>
      </w:r>
    </w:p>
    <w:p>
      <w:r>
        <w:rPr>
          <w:rFonts w:ascii="Courier New" w:hAnsi="Courier New"/>
          <w:sz w:val="17"/>
        </w:rPr>
        <w:t xml:space="preserve">Verfahrenstechnologie und Arbeitsplanung    mit 30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„Verfahrenstechnologie und Arbeitsplanung“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15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